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widowControl w:val="0"/>
        <w:tabs>
          <w:tab w:val="right" w:pos="9639"/>
        </w:tabs>
        <w:spacing w:after="0"/>
        <w:jc w:val="both"/>
        <w:rPr>
          <w:rFonts w:hint="default" w:eastAsia="宋体"/>
          <w:b/>
          <w:sz w:val="24"/>
          <w:lang w:val="en-US" w:eastAsia="zh-CN"/>
        </w:rPr>
      </w:pPr>
      <w:bookmarkStart w:id="0" w:name="_Hlt448930105"/>
      <w:bookmarkEnd w:id="0"/>
      <w:bookmarkStart w:id="1" w:name="_Hlt450039480"/>
      <w:bookmarkEnd w:id="1"/>
      <w:bookmarkStart w:id="2" w:name="_Hlt450066085"/>
      <w:bookmarkEnd w:id="2"/>
      <w:bookmarkStart w:id="3" w:name="_Hlt450066087"/>
      <w:bookmarkEnd w:id="3"/>
      <w:bookmarkStart w:id="4" w:name="_Hlt449016246"/>
      <w:bookmarkEnd w:id="4"/>
      <w:bookmarkStart w:id="5" w:name="_Hlt450051172"/>
      <w:bookmarkEnd w:id="5"/>
      <w:bookmarkStart w:id="6" w:name="OLE_LINK27"/>
      <w:bookmarkStart w:id="7" w:name="OLE_LINK111"/>
      <w:bookmarkStart w:id="8" w:name="OLE_LINK49"/>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13270</w:t>
      </w:r>
    </w:p>
    <w:p>
      <w:pPr>
        <w:pStyle w:val="72"/>
        <w:keepNext/>
        <w:keepLines/>
        <w:widowControl w:val="0"/>
        <w:tabs>
          <w:tab w:val="right" w:pos="9639"/>
        </w:tabs>
        <w:spacing w:after="0"/>
        <w:jc w:val="both"/>
        <w:rPr>
          <w:b/>
          <w:sz w:val="24"/>
          <w:lang w:eastAsia="en-GB"/>
        </w:rPr>
      </w:pPr>
      <w:r>
        <w:rPr>
          <w:b/>
          <w:sz w:val="24"/>
        </w:rPr>
        <w:t>Prague, CZ</w:t>
      </w:r>
      <w:r>
        <w:rPr>
          <w:rFonts w:hint="eastAsia"/>
          <w:b/>
          <w:sz w:val="24"/>
          <w:lang w:val="en-US" w:eastAsia="zh-CN"/>
        </w:rPr>
        <w:t>, 13</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pPr>
        <w:pStyle w:val="72"/>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highlight w:val="none"/>
          <w:lang w:val="en-GB" w:eastAsia="en-GB"/>
        </w:rPr>
      </w:pPr>
    </w:p>
    <w:bookmarkEnd w:id="6"/>
    <w:bookmarkEnd w:id="7"/>
    <w:bookmarkEnd w:id="8"/>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 xml:space="preserve">Views on 6G UE RF aspect </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8.4</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The new SID[1] was approved in RAN #108 meeting, and the work for RAN4 will start in RAN4 #116bis meeting.</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initial views on the 6GR UE RF parameters.</w:t>
      </w:r>
      <w:bookmarkEnd w:id="9"/>
      <w:bookmarkStart w:id="10" w:name="OLE_LINK55"/>
      <w:r>
        <w:rPr>
          <w:rFonts w:hint="eastAsia"/>
          <w:bCs/>
          <w:i w:val="0"/>
          <w:iCs w:val="0"/>
          <w:kern w:val="0"/>
          <w:sz w:val="20"/>
          <w:szCs w:val="20"/>
          <w:highlight w:val="none"/>
          <w:lang w:val="en-US" w:eastAsia="zh-CN"/>
        </w:rPr>
        <w:t xml:space="preserve"> </w:t>
      </w:r>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pPr>
      <w:bookmarkStart w:id="11" w:name="OLE_LINK3"/>
      <w:bookmarkStart w:id="12" w:name="OLE_LINK23"/>
      <w:bookmarkStart w:id="13" w:name="OLE_LINK66"/>
      <w:bookmarkStart w:id="14" w:name="OLE_LINK28"/>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2.1 UL coverage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ascii="Times New Roman" w:hAnsi="Times New Roman" w:eastAsia="宋体" w:cs="Times New Roman"/>
          <w:b/>
          <w:bCs/>
          <w:i w:val="0"/>
          <w:iCs w:val="0"/>
          <w:caps w:val="0"/>
          <w:color w:val="000000"/>
          <w:spacing w:val="0"/>
          <w:sz w:val="20"/>
          <w:szCs w:val="20"/>
          <w:highlight w:val="none"/>
          <w:shd w:val="clear" w:fill="FFFFFF"/>
          <w:lang w:val="en-US" w:eastAsia="zh-CN"/>
        </w:rPr>
      </w:pPr>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2.1.1 5G NR UL coverage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ascii="Times New Roman" w:hAnsi="Times New Roman" w:eastAsia="宋体" w:cs="Times New Roman"/>
          <w:i w:val="0"/>
          <w:iCs w:val="0"/>
          <w:caps w:val="0"/>
          <w:color w:val="000000"/>
          <w:spacing w:val="0"/>
          <w:sz w:val="20"/>
          <w:szCs w:val="20"/>
          <w:highlight w:val="none"/>
          <w:shd w:val="clear" w:fill="FFFFFF"/>
        </w:rPr>
      </w:pPr>
      <w:r>
        <w:rPr>
          <w:rFonts w:hint="default" w:ascii="Times New Roman" w:hAnsi="Times New Roman" w:eastAsia="宋体" w:cs="Times New Roman"/>
          <w:i w:val="0"/>
          <w:iCs w:val="0"/>
          <w:caps w:val="0"/>
          <w:color w:val="000000"/>
          <w:spacing w:val="0"/>
          <w:sz w:val="20"/>
          <w:szCs w:val="20"/>
          <w:highlight w:val="none"/>
          <w:shd w:val="clear" w:fill="FFFFFF"/>
        </w:rPr>
        <w:t>The 5G NR</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 </w:t>
      </w:r>
      <w:r>
        <w:rPr>
          <w:rFonts w:hint="default" w:ascii="Times New Roman" w:hAnsi="Times New Roman" w:eastAsia="宋体" w:cs="Times New Roman"/>
          <w:i w:val="0"/>
          <w:iCs w:val="0"/>
          <w:caps w:val="0"/>
          <w:color w:val="000000"/>
          <w:spacing w:val="0"/>
          <w:sz w:val="20"/>
          <w:szCs w:val="20"/>
          <w:highlight w:val="none"/>
          <w:shd w:val="clear" w:fill="FFFFFF"/>
        </w:rPr>
        <w:t xml:space="preserve">was designed to meet vastly increased traffic demands, including significantly higher uplink data requirements. Early 5G deployments revealed that while mid-band (e.g. 3.5GHz TDD) spectrum provides large downlink capacity, the uplink can become a bottleneck due to limited device transmit power and fewer antennas on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UE</w:t>
      </w:r>
      <w:r>
        <w:rPr>
          <w:rFonts w:hint="default" w:ascii="Times New Roman" w:hAnsi="Times New Roman" w:eastAsia="宋体" w:cs="Times New Roman"/>
          <w:i w:val="0"/>
          <w:iCs w:val="0"/>
          <w:caps w:val="0"/>
          <w:color w:val="000000"/>
          <w:spacing w:val="0"/>
          <w:sz w:val="20"/>
          <w:szCs w:val="20"/>
          <w:highlight w:val="none"/>
          <w:shd w:val="clear" w:fill="FFFFFF"/>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ascii="Times New Roman" w:hAnsi="Times New Roman" w:eastAsia="宋体" w:cs="Times New Roman"/>
          <w:i w:val="0"/>
          <w:iCs w:val="0"/>
          <w:caps w:val="0"/>
          <w:color w:val="000000"/>
          <w:spacing w:val="0"/>
          <w:sz w:val="20"/>
          <w:szCs w:val="20"/>
          <w:highlight w:val="none"/>
          <w:shd w:val="clear" w:fill="FFFFFF"/>
        </w:rPr>
      </w:pPr>
      <w:r>
        <w:rPr>
          <w:rFonts w:hint="default" w:ascii="Times New Roman" w:hAnsi="Times New Roman" w:eastAsia="宋体" w:cs="Times New Roman"/>
          <w:i w:val="0"/>
          <w:iCs w:val="0"/>
          <w:caps w:val="0"/>
          <w:color w:val="000000"/>
          <w:spacing w:val="0"/>
          <w:sz w:val="20"/>
          <w:szCs w:val="20"/>
          <w:highlight w:val="none"/>
          <w:shd w:val="clear" w:fill="FFFFFF"/>
        </w:rPr>
        <w:t xml:space="preserve">Uplink signals are typically weaker (especially at cell edges or indoors) because mobile devices must abide by strict power limits (to manage battery life, interference, and safety).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ascii="Times New Roman" w:hAnsi="Times New Roman" w:eastAsia="宋体" w:cs="Times New Roman"/>
          <w:i w:val="0"/>
          <w:iCs w:val="0"/>
          <w:caps w:val="0"/>
          <w:color w:val="000000"/>
          <w:spacing w:val="0"/>
          <w:sz w:val="20"/>
          <w:szCs w:val="20"/>
          <w:highlight w:val="none"/>
          <w:shd w:val="clear" w:fill="FFFFFF"/>
        </w:rPr>
      </w:pP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In </w:t>
      </w:r>
      <w:r>
        <w:rPr>
          <w:rFonts w:hint="default" w:ascii="Times New Roman" w:hAnsi="Times New Roman" w:cs="Times New Roman"/>
          <w:iCs/>
          <w:color w:val="auto"/>
          <w:sz w:val="20"/>
          <w:szCs w:val="20"/>
          <w:highlight w:val="none"/>
          <w:lang w:val="en-US" w:eastAsia="zh-CN"/>
        </w:rPr>
        <w:t>Rel-15</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some uplink boosting feature</w:t>
      </w:r>
      <w:r>
        <w:rPr>
          <w:rFonts w:hint="eastAsia" w:cs="Times New Roman"/>
          <w:i w:val="0"/>
          <w:iCs w:val="0"/>
          <w:caps w:val="0"/>
          <w:color w:val="000000"/>
          <w:spacing w:val="0"/>
          <w:sz w:val="20"/>
          <w:szCs w:val="20"/>
          <w:highlight w:val="none"/>
          <w:shd w:val="clear" w:fill="FFFFFF"/>
          <w:lang w:val="en-US" w:eastAsia="zh-CN"/>
        </w:rPr>
        <w:t>s were</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 included such as ENDC, SUL and CA. </w:t>
      </w:r>
      <w:r>
        <w:rPr>
          <w:rFonts w:hint="default" w:ascii="Times New Roman" w:hAnsi="Times New Roman" w:eastAsia="宋体" w:cs="Times New Roman"/>
          <w:i w:val="0"/>
          <w:iCs w:val="0"/>
          <w:caps w:val="0"/>
          <w:color w:val="000000"/>
          <w:spacing w:val="0"/>
          <w:sz w:val="20"/>
          <w:szCs w:val="20"/>
          <w:highlight w:val="none"/>
          <w:shd w:val="clear" w:fill="FFFFFF"/>
        </w:rPr>
        <w:t xml:space="preserve">EN-DC allows a 5G NR UE to transmit on LTE band simultaneously or fallback to LTE uplink in poor NR coverage, leveraging lower-frequency LTE spectrum to extend uplink coverage. Similarly, SUL </w:t>
      </w:r>
      <w:r>
        <w:rPr>
          <w:rFonts w:hint="eastAsia" w:cs="Times New Roman"/>
          <w:i w:val="0"/>
          <w:iCs w:val="0"/>
          <w:caps w:val="0"/>
          <w:color w:val="000000"/>
          <w:spacing w:val="0"/>
          <w:sz w:val="20"/>
          <w:szCs w:val="20"/>
          <w:highlight w:val="none"/>
          <w:shd w:val="clear" w:fill="FFFFFF"/>
          <w:lang w:val="en-US" w:eastAsia="zh-CN"/>
        </w:rPr>
        <w:t xml:space="preserve">combination </w:t>
      </w:r>
      <w:r>
        <w:rPr>
          <w:rFonts w:hint="default" w:ascii="Times New Roman" w:hAnsi="Times New Roman" w:eastAsia="宋体" w:cs="Times New Roman"/>
          <w:i w:val="0"/>
          <w:iCs w:val="0"/>
          <w:caps w:val="0"/>
          <w:color w:val="000000"/>
          <w:spacing w:val="0"/>
          <w:sz w:val="20"/>
          <w:szCs w:val="20"/>
          <w:highlight w:val="none"/>
          <w:shd w:val="clear" w:fill="FFFFFF"/>
        </w:rPr>
        <w:t>permits pairing a high</w:t>
      </w:r>
      <w:r>
        <w:rPr>
          <w:rFonts w:hint="eastAsia" w:cs="Times New Roman"/>
          <w:i w:val="0"/>
          <w:iCs w:val="0"/>
          <w:caps w:val="0"/>
          <w:color w:val="000000"/>
          <w:spacing w:val="0"/>
          <w:sz w:val="20"/>
          <w:szCs w:val="20"/>
          <w:highlight w:val="none"/>
          <w:shd w:val="clear" w:fill="FFFFFF"/>
          <w:lang w:val="en-US" w:eastAsia="zh-CN"/>
        </w:rPr>
        <w:t xml:space="preserve"> NR band </w:t>
      </w:r>
      <w:r>
        <w:rPr>
          <w:rFonts w:hint="default" w:ascii="Times New Roman" w:hAnsi="Times New Roman" w:eastAsia="宋体" w:cs="Times New Roman"/>
          <w:i w:val="0"/>
          <w:iCs w:val="0"/>
          <w:caps w:val="0"/>
          <w:color w:val="000000"/>
          <w:spacing w:val="0"/>
          <w:sz w:val="20"/>
          <w:szCs w:val="20"/>
          <w:highlight w:val="none"/>
          <w:shd w:val="clear" w:fill="FFFFFF"/>
        </w:rPr>
        <w:t>with a low</w:t>
      </w:r>
      <w:r>
        <w:rPr>
          <w:rFonts w:hint="eastAsia" w:cs="Times New Roman"/>
          <w:i w:val="0"/>
          <w:iCs w:val="0"/>
          <w:caps w:val="0"/>
          <w:color w:val="000000"/>
          <w:spacing w:val="0"/>
          <w:sz w:val="20"/>
          <w:szCs w:val="20"/>
          <w:highlight w:val="none"/>
          <w:shd w:val="clear" w:fill="FFFFFF"/>
          <w:lang w:val="en-US" w:eastAsia="zh-CN"/>
        </w:rPr>
        <w:t xml:space="preserve"> SUL band</w:t>
      </w:r>
      <w:r>
        <w:rPr>
          <w:rFonts w:hint="default" w:ascii="Times New Roman" w:hAnsi="Times New Roman" w:eastAsia="宋体" w:cs="Times New Roman"/>
          <w:i w:val="0"/>
          <w:iCs w:val="0"/>
          <w:caps w:val="0"/>
          <w:color w:val="000000"/>
          <w:spacing w:val="0"/>
          <w:sz w:val="20"/>
          <w:szCs w:val="20"/>
          <w:highlight w:val="none"/>
          <w:shd w:val="clear" w:fill="FFFFFF"/>
        </w:rPr>
        <w:t>, improving cell-edge UL coverage on 5G. These techniques mitigated early 5G uplink limitations but also had drawbacks</w:t>
      </w:r>
      <w:r>
        <w:rPr>
          <w:rFonts w:hint="eastAsia" w:cs="Times New Roman"/>
          <w:i w:val="0"/>
          <w:iCs w:val="0"/>
          <w:caps w:val="0"/>
          <w:color w:val="000000"/>
          <w:spacing w:val="0"/>
          <w:sz w:val="20"/>
          <w:szCs w:val="20"/>
          <w:highlight w:val="none"/>
          <w:shd w:val="clear" w:fill="FFFFFF"/>
          <w:lang w:val="en-US" w:eastAsia="zh-CN"/>
        </w:rPr>
        <w:t xml:space="preserve">, </w:t>
      </w:r>
      <w:r>
        <w:rPr>
          <w:rFonts w:hint="default" w:ascii="Times New Roman" w:hAnsi="Times New Roman" w:eastAsia="宋体" w:cs="Times New Roman"/>
          <w:i w:val="0"/>
          <w:iCs w:val="0"/>
          <w:caps w:val="0"/>
          <w:color w:val="000000"/>
          <w:spacing w:val="0"/>
          <w:sz w:val="20"/>
          <w:szCs w:val="20"/>
          <w:highlight w:val="none"/>
          <w:shd w:val="clear" w:fill="FFFFFF"/>
        </w:rPr>
        <w:t xml:space="preserve">e.g. in EN-DC the UE’s second transmitter is tied to LTE, preventing NR from using both antennas for true UL-MIMO on the NR carrier.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ascii="Times New Roman" w:hAnsi="Times New Roman" w:eastAsia="宋体" w:cs="Times New Roman"/>
          <w:i w:val="0"/>
          <w:iCs w:val="0"/>
          <w:caps w:val="0"/>
          <w:color w:val="000000"/>
          <w:spacing w:val="0"/>
          <w:sz w:val="20"/>
          <w:szCs w:val="20"/>
          <w:highlight w:val="none"/>
          <w:shd w:val="clear" w:fill="FFFFFF"/>
        </w:rPr>
      </w:pP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I</w:t>
      </w:r>
      <w:r>
        <w:rPr>
          <w:rFonts w:hint="default" w:ascii="Times New Roman" w:hAnsi="Times New Roman" w:eastAsia="宋体" w:cs="Times New Roman"/>
          <w:i w:val="0"/>
          <w:iCs w:val="0"/>
          <w:caps w:val="0"/>
          <w:color w:val="000000"/>
          <w:spacing w:val="0"/>
          <w:sz w:val="20"/>
          <w:szCs w:val="20"/>
          <w:highlight w:val="none"/>
          <w:shd w:val="clear" w:fill="FFFFFF"/>
        </w:rPr>
        <w:t xml:space="preserve">n </w:t>
      </w:r>
      <w:r>
        <w:rPr>
          <w:rFonts w:hint="default" w:ascii="Times New Roman" w:hAnsi="Times New Roman" w:cs="Times New Roman"/>
          <w:iCs/>
          <w:color w:val="auto"/>
          <w:sz w:val="20"/>
          <w:szCs w:val="20"/>
          <w:highlight w:val="none"/>
          <w:lang w:val="en-US" w:eastAsia="zh-CN"/>
        </w:rPr>
        <w:t>Rel-16</w:t>
      </w:r>
      <w:r>
        <w:rPr>
          <w:rFonts w:hint="default" w:ascii="Times New Roman" w:hAnsi="Times New Roman" w:eastAsia="宋体" w:cs="Times New Roman"/>
          <w:i w:val="0"/>
          <w:iCs w:val="0"/>
          <w:caps w:val="0"/>
          <w:color w:val="000000"/>
          <w:spacing w:val="0"/>
          <w:sz w:val="20"/>
          <w:szCs w:val="20"/>
          <w:highlight w:val="none"/>
          <w:shd w:val="clear" w:fill="FFFFFF"/>
        </w:rPr>
        <w:t xml:space="preserve">, </w:t>
      </w:r>
      <w:r>
        <w:rPr>
          <w:rFonts w:hint="eastAsia" w:cs="Times New Roman"/>
          <w:i w:val="0"/>
          <w:iCs w:val="0"/>
          <w:caps w:val="0"/>
          <w:color w:val="000000"/>
          <w:spacing w:val="0"/>
          <w:sz w:val="20"/>
          <w:szCs w:val="20"/>
          <w:highlight w:val="none"/>
          <w:shd w:val="clear" w:fill="FFFFFF"/>
          <w:lang w:val="en-US" w:eastAsia="zh-CN"/>
        </w:rPr>
        <w:t xml:space="preserve">another some </w:t>
      </w:r>
      <w:r>
        <w:rPr>
          <w:rFonts w:hint="default" w:ascii="Times New Roman" w:hAnsi="Times New Roman" w:eastAsia="宋体" w:cs="Times New Roman"/>
          <w:i w:val="0"/>
          <w:iCs w:val="0"/>
          <w:caps w:val="0"/>
          <w:color w:val="000000"/>
          <w:spacing w:val="0"/>
          <w:sz w:val="20"/>
          <w:szCs w:val="20"/>
          <w:highlight w:val="none"/>
          <w:shd w:val="clear" w:fill="FFFFFF"/>
        </w:rPr>
        <w:t>additional uplink enhancements were introduced to unlock better 5G UL performance. A key example is Uplink Transmit (Tx) Switching, a dynamic mechanism to coordinate two UE transmit antennas across carriers. This allows, for instance, a</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n</w:t>
      </w:r>
      <w:r>
        <w:rPr>
          <w:rFonts w:hint="default" w:ascii="Times New Roman" w:hAnsi="Times New Roman" w:eastAsia="宋体" w:cs="Times New Roman"/>
          <w:i w:val="0"/>
          <w:iCs w:val="0"/>
          <w:caps w:val="0"/>
          <w:color w:val="000000"/>
          <w:spacing w:val="0"/>
          <w:sz w:val="20"/>
          <w:szCs w:val="20"/>
          <w:highlight w:val="none"/>
          <w:shd w:val="clear" w:fill="FFFFFF"/>
        </w:rPr>
        <w:t xml:space="preserve">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NR CA</w:t>
      </w:r>
      <w:r>
        <w:rPr>
          <w:rFonts w:hint="default" w:ascii="Times New Roman" w:hAnsi="Times New Roman" w:eastAsia="宋体" w:cs="Times New Roman"/>
          <w:i w:val="0"/>
          <w:iCs w:val="0"/>
          <w:caps w:val="0"/>
          <w:color w:val="000000"/>
          <w:spacing w:val="0"/>
          <w:sz w:val="20"/>
          <w:szCs w:val="20"/>
          <w:highlight w:val="none"/>
          <w:shd w:val="clear" w:fill="FFFFFF"/>
        </w:rPr>
        <w:t xml:space="preserve"> UE to switch its second Tx between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l</w:t>
      </w:r>
      <w:r>
        <w:rPr>
          <w:rFonts w:hint="default" w:ascii="Times New Roman" w:hAnsi="Times New Roman" w:eastAsia="宋体" w:cs="Times New Roman"/>
          <w:i w:val="0"/>
          <w:iCs w:val="0"/>
          <w:caps w:val="0"/>
          <w:color w:val="000000"/>
          <w:spacing w:val="0"/>
          <w:sz w:val="20"/>
          <w:szCs w:val="20"/>
          <w:highlight w:val="none"/>
          <w:shd w:val="clear" w:fill="FFFFFF"/>
        </w:rPr>
        <w:t xml:space="preserve">ow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f</w:t>
      </w:r>
      <w:r>
        <w:rPr>
          <w:rFonts w:hint="default" w:ascii="Times New Roman" w:hAnsi="Times New Roman" w:eastAsia="宋体" w:cs="Times New Roman"/>
          <w:i w:val="0"/>
          <w:iCs w:val="0"/>
          <w:caps w:val="0"/>
          <w:color w:val="000000"/>
          <w:spacing w:val="0"/>
          <w:sz w:val="20"/>
          <w:szCs w:val="20"/>
          <w:highlight w:val="none"/>
          <w:shd w:val="clear" w:fill="FFFFFF"/>
        </w:rPr>
        <w:t xml:space="preserve">requency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NR </w:t>
      </w:r>
      <w:r>
        <w:rPr>
          <w:rFonts w:hint="default" w:ascii="Times New Roman" w:hAnsi="Times New Roman" w:eastAsia="宋体" w:cs="Times New Roman"/>
          <w:i w:val="0"/>
          <w:iCs w:val="0"/>
          <w:caps w:val="0"/>
          <w:color w:val="000000"/>
          <w:spacing w:val="0"/>
          <w:sz w:val="20"/>
          <w:szCs w:val="20"/>
          <w:highlight w:val="none"/>
          <w:shd w:val="clear" w:fill="FFFFFF"/>
        </w:rPr>
        <w:t xml:space="preserve">and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high frequency </w:t>
      </w:r>
      <w:r>
        <w:rPr>
          <w:rFonts w:hint="default" w:ascii="Times New Roman" w:hAnsi="Times New Roman" w:eastAsia="宋体" w:cs="Times New Roman"/>
          <w:i w:val="0"/>
          <w:iCs w:val="0"/>
          <w:caps w:val="0"/>
          <w:color w:val="000000"/>
          <w:spacing w:val="0"/>
          <w:sz w:val="20"/>
          <w:szCs w:val="20"/>
          <w:highlight w:val="none"/>
          <w:shd w:val="clear" w:fill="FFFFFF"/>
        </w:rPr>
        <w:t xml:space="preserve">NR as needed, so that during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high frequency </w:t>
      </w:r>
      <w:r>
        <w:rPr>
          <w:rFonts w:hint="default" w:ascii="Times New Roman" w:hAnsi="Times New Roman" w:eastAsia="宋体" w:cs="Times New Roman"/>
          <w:i w:val="0"/>
          <w:iCs w:val="0"/>
          <w:caps w:val="0"/>
          <w:color w:val="000000"/>
          <w:spacing w:val="0"/>
          <w:sz w:val="20"/>
          <w:szCs w:val="20"/>
          <w:highlight w:val="none"/>
          <w:shd w:val="clear" w:fill="FFFFFF"/>
        </w:rPr>
        <w:t xml:space="preserve">NR uplink transmissions both antennas can be used (enabling 2x2 MIMO on NR) and when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high frequency</w:t>
      </w:r>
      <w:r>
        <w:rPr>
          <w:rFonts w:hint="default" w:ascii="Times New Roman" w:hAnsi="Times New Roman" w:cs="Times New Roman"/>
          <w:i w:val="0"/>
          <w:iCs w:val="0"/>
          <w:caps w:val="0"/>
          <w:color w:val="000000"/>
          <w:spacing w:val="0"/>
          <w:sz w:val="20"/>
          <w:szCs w:val="20"/>
          <w:highlight w:val="none"/>
          <w:shd w:val="clear" w:fill="FFFFFF"/>
          <w:lang w:val="en-US" w:eastAsia="zh-CN"/>
        </w:rPr>
        <w:t xml:space="preserve"> </w:t>
      </w:r>
      <w:r>
        <w:rPr>
          <w:rFonts w:hint="default" w:ascii="Times New Roman" w:hAnsi="Times New Roman" w:eastAsia="宋体" w:cs="Times New Roman"/>
          <w:i w:val="0"/>
          <w:iCs w:val="0"/>
          <w:caps w:val="0"/>
          <w:color w:val="000000"/>
          <w:spacing w:val="0"/>
          <w:sz w:val="20"/>
          <w:szCs w:val="20"/>
          <w:highlight w:val="none"/>
          <w:shd w:val="clear" w:fill="FFFFFF"/>
        </w:rPr>
        <w:t xml:space="preserve">NR UL is not needed, one antenna can revert to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l</w:t>
      </w:r>
      <w:r>
        <w:rPr>
          <w:rFonts w:hint="default" w:ascii="Times New Roman" w:hAnsi="Times New Roman" w:eastAsia="宋体" w:cs="Times New Roman"/>
          <w:i w:val="0"/>
          <w:iCs w:val="0"/>
          <w:caps w:val="0"/>
          <w:color w:val="000000"/>
          <w:spacing w:val="0"/>
          <w:sz w:val="20"/>
          <w:szCs w:val="20"/>
          <w:highlight w:val="none"/>
          <w:shd w:val="clear" w:fill="FFFFFF"/>
        </w:rPr>
        <w:t xml:space="preserve">ow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f</w:t>
      </w:r>
      <w:r>
        <w:rPr>
          <w:rFonts w:hint="default" w:ascii="Times New Roman" w:hAnsi="Times New Roman" w:eastAsia="宋体" w:cs="Times New Roman"/>
          <w:i w:val="0"/>
          <w:iCs w:val="0"/>
          <w:caps w:val="0"/>
          <w:color w:val="000000"/>
          <w:spacing w:val="0"/>
          <w:sz w:val="20"/>
          <w:szCs w:val="20"/>
          <w:highlight w:val="none"/>
          <w:shd w:val="clear" w:fill="FFFFFF"/>
        </w:rPr>
        <w:t xml:space="preserve">requency </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NR</w:t>
      </w:r>
      <w:r>
        <w:rPr>
          <w:rFonts w:hint="default" w:ascii="Times New Roman" w:hAnsi="Times New Roman" w:eastAsia="宋体" w:cs="Times New Roman"/>
          <w:i w:val="0"/>
          <w:iCs w:val="0"/>
          <w:caps w:val="0"/>
          <w:color w:val="000000"/>
          <w:spacing w:val="0"/>
          <w:sz w:val="20"/>
          <w:szCs w:val="20"/>
          <w:highlight w:val="none"/>
          <w:shd w:val="clear" w:fill="FFFFFF"/>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In </w:t>
      </w:r>
      <w:r>
        <w:rPr>
          <w:rFonts w:hint="default" w:ascii="Times New Roman" w:hAnsi="Times New Roman" w:cs="Times New Roman"/>
          <w:iCs/>
          <w:color w:val="auto"/>
          <w:sz w:val="20"/>
          <w:szCs w:val="20"/>
          <w:highlight w:val="none"/>
          <w:lang w:val="en-US" w:eastAsia="zh-CN"/>
        </w:rPr>
        <w:t>Rel-17</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some further uplink enhancements were introduced, such as intra-band CA+ UL MIMO which combine</w:t>
      </w:r>
      <w:r>
        <w:rPr>
          <w:rFonts w:hint="eastAsia" w:cs="Times New Roman"/>
          <w:i w:val="0"/>
          <w:iCs w:val="0"/>
          <w:caps w:val="0"/>
          <w:color w:val="000000"/>
          <w:spacing w:val="0"/>
          <w:sz w:val="20"/>
          <w:szCs w:val="20"/>
          <w:highlight w:val="none"/>
          <w:shd w:val="clear" w:fill="FFFFFF"/>
          <w:lang w:val="en-US" w:eastAsia="zh-CN"/>
        </w:rPr>
        <w:t>s</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 both advantages of these two technical. It can not only increase the total transmitted power, but also enable higher data rates at the cell edge</w:t>
      </w:r>
      <w:r>
        <w:rPr>
          <w:rFonts w:hint="default" w:ascii="Times New Roman" w:hAnsi="Times New Roman" w:cs="Times New Roman"/>
          <w:i w:val="0"/>
          <w:iCs w:val="0"/>
          <w:caps w:val="0"/>
          <w:color w:val="000000"/>
          <w:spacing w:val="0"/>
          <w:sz w:val="20"/>
          <w:szCs w:val="20"/>
          <w:highlight w:val="none"/>
          <w:shd w:val="clear" w:fill="FFFFFF"/>
          <w:lang w:val="en-US" w:eastAsia="zh-CN"/>
        </w:rPr>
        <w:t xml:space="preserve"> with</w:t>
      </w:r>
      <w:r>
        <w:rPr>
          <w:rFonts w:hint="default" w:ascii="Times New Roman" w:hAnsi="Times New Roman" w:eastAsia="宋体" w:cs="Times New Roman"/>
          <w:i w:val="0"/>
          <w:iCs w:val="0"/>
          <w:caps w:val="0"/>
          <w:color w:val="000000"/>
          <w:spacing w:val="0"/>
          <w:sz w:val="20"/>
          <w:szCs w:val="20"/>
          <w:highlight w:val="none"/>
          <w:shd w:val="clear" w:fill="FFFFFF"/>
          <w:lang w:val="en-US" w:eastAsia="zh-CN"/>
        </w:rPr>
        <w:t xml:space="preserve"> robust diversity gains</w:t>
      </w:r>
      <w:r>
        <w:rPr>
          <w:rFonts w:hint="default" w:ascii="Times New Roman" w:hAnsi="Times New Roman" w:cs="Times New Roman"/>
          <w:i w:val="0"/>
          <w:iCs w:val="0"/>
          <w:caps w:val="0"/>
          <w:color w:val="000000"/>
          <w:spacing w:val="0"/>
          <w:sz w:val="20"/>
          <w:szCs w:val="20"/>
          <w:highlight w:val="none"/>
          <w:shd w:val="clear" w:fill="FFFFFF"/>
          <w:lang w:val="en-US" w:eastAsia="zh-CN"/>
        </w:rPr>
        <w:t xml:space="preserve">. In addition to that, HPUE UL CA features were introduced and also for inter-band UL CA, </w:t>
      </w:r>
      <w:r>
        <w:rPr>
          <w:rFonts w:hint="default" w:ascii="Times New Roman" w:hAnsi="Times New Roman" w:cs="Times New Roman"/>
          <w:sz w:val="20"/>
          <w:szCs w:val="20"/>
          <w:highlight w:val="none"/>
          <w:lang w:val="en-US" w:eastAsia="zh-CN"/>
        </w:rPr>
        <w:t xml:space="preserve">high power limits capability (i.e. </w:t>
      </w:r>
      <w:r>
        <w:rPr>
          <w:rFonts w:hint="default" w:ascii="Times New Roman" w:hAnsi="Times New Roman" w:cs="Times New Roman"/>
          <w:bCs/>
          <w:i/>
          <w:sz w:val="20"/>
          <w:szCs w:val="20"/>
          <w:highlight w:val="none"/>
        </w:rPr>
        <w:t>higherPowerLimit-r17</w:t>
      </w:r>
      <w:r>
        <w:rPr>
          <w:rFonts w:hint="default" w:ascii="Times New Roman" w:hAnsi="Times New Roman" w:cs="Times New Roman"/>
          <w:sz w:val="20"/>
          <w:szCs w:val="20"/>
          <w:highlight w:val="none"/>
          <w:lang w:val="en-US" w:eastAsia="zh-CN"/>
        </w:rPr>
        <w:t xml:space="preserve">) was introduced to enable UE can transmit higher power considering the PA full power capability.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iCs/>
          <w:color w:val="auto"/>
          <w:sz w:val="20"/>
          <w:szCs w:val="20"/>
          <w:highlight w:val="none"/>
          <w:lang w:val="en-US" w:eastAsia="zh-CN"/>
        </w:rPr>
      </w:pPr>
      <w:r>
        <w:rPr>
          <w:rFonts w:hint="default" w:ascii="Times New Roman" w:hAnsi="Times New Roman" w:cs="Times New Roman"/>
          <w:sz w:val="20"/>
          <w:szCs w:val="20"/>
          <w:highlight w:val="none"/>
          <w:lang w:val="en-US" w:eastAsia="zh-CN"/>
        </w:rPr>
        <w:t xml:space="preserve">In </w:t>
      </w:r>
      <w:r>
        <w:rPr>
          <w:rFonts w:hint="default" w:ascii="Times New Roman" w:hAnsi="Times New Roman" w:cs="Times New Roman"/>
          <w:iCs/>
          <w:color w:val="auto"/>
          <w:sz w:val="20"/>
          <w:szCs w:val="20"/>
          <w:highlight w:val="none"/>
          <w:lang w:val="en-US" w:eastAsia="zh-CN"/>
        </w:rPr>
        <w:t>Rel-18</w:t>
      </w:r>
      <w:r>
        <w:rPr>
          <w:rFonts w:hint="default"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 xml:space="preserve">there was </w:t>
      </w:r>
      <w:r>
        <w:rPr>
          <w:rFonts w:hint="default" w:ascii="Times New Roman" w:hAnsi="Times New Roman" w:cs="Times New Roman"/>
          <w:sz w:val="20"/>
          <w:szCs w:val="20"/>
          <w:highlight w:val="none"/>
          <w:lang w:val="en-US" w:eastAsia="zh-CN"/>
        </w:rPr>
        <w:t xml:space="preserve">coverage enhancement WID led by RAN1, which aims to further increase the UL coverage by </w:t>
      </w:r>
      <w:r>
        <w:rPr>
          <w:rFonts w:hint="default" w:ascii="Times New Roman" w:hAnsi="Times New Roman" w:cs="Times New Roman"/>
          <w:iCs/>
          <w:color w:val="auto"/>
          <w:sz w:val="20"/>
          <w:szCs w:val="20"/>
          <w:highlight w:val="none"/>
          <w:lang w:val="en-US" w:eastAsia="zh-CN"/>
        </w:rPr>
        <w:t>i</w:t>
      </w:r>
      <w:r>
        <w:rPr>
          <w:rFonts w:hint="default" w:ascii="Times New Roman" w:hAnsi="Times New Roman" w:cs="Times New Roman"/>
          <w:iCs/>
          <w:color w:val="auto"/>
          <w:sz w:val="20"/>
          <w:szCs w:val="20"/>
          <w:highlight w:val="none"/>
        </w:rPr>
        <w:t>ncreasing UE power high limit for CA and DC</w:t>
      </w:r>
      <w:r>
        <w:rPr>
          <w:rFonts w:hint="default" w:ascii="Times New Roman" w:hAnsi="Times New Roman" w:cs="Times New Roman"/>
          <w:iCs/>
          <w:color w:val="auto"/>
          <w:sz w:val="20"/>
          <w:szCs w:val="20"/>
          <w:highlight w:val="none"/>
          <w:lang w:val="en-US" w:eastAsia="zh-CN"/>
        </w:rPr>
        <w:t xml:space="preserve"> and </w:t>
      </w:r>
      <w:r>
        <w:rPr>
          <w:rFonts w:hint="default" w:ascii="Times New Roman" w:hAnsi="Times New Roman" w:cs="Times New Roman"/>
          <w:iCs/>
          <w:color w:val="auto"/>
          <w:sz w:val="20"/>
          <w:szCs w:val="20"/>
          <w:highlight w:val="none"/>
        </w:rPr>
        <w:t>reduc</w:t>
      </w:r>
      <w:r>
        <w:rPr>
          <w:rFonts w:hint="default" w:ascii="Times New Roman" w:hAnsi="Times New Roman" w:cs="Times New Roman"/>
          <w:iCs/>
          <w:color w:val="auto"/>
          <w:sz w:val="20"/>
          <w:szCs w:val="20"/>
          <w:highlight w:val="none"/>
          <w:lang w:val="en-US" w:eastAsia="zh-CN"/>
        </w:rPr>
        <w:t>ing</w:t>
      </w:r>
      <w:r>
        <w:rPr>
          <w:rFonts w:hint="default" w:ascii="Times New Roman" w:hAnsi="Times New Roman" w:cs="Times New Roman"/>
          <w:iCs/>
          <w:color w:val="auto"/>
          <w:sz w:val="20"/>
          <w:szCs w:val="20"/>
          <w:highlight w:val="none"/>
        </w:rPr>
        <w:t xml:space="preserve"> MPR/PAR, including </w:t>
      </w:r>
      <w:r>
        <w:rPr>
          <w:rFonts w:hint="default" w:ascii="Times New Roman" w:hAnsi="Times New Roman" w:cs="Times New Roman"/>
          <w:iCs/>
          <w:color w:val="auto"/>
          <w:sz w:val="20"/>
          <w:szCs w:val="20"/>
          <w:highlight w:val="none"/>
          <w:lang w:eastAsia="zh-CN"/>
        </w:rPr>
        <w:t xml:space="preserve">frequency domain </w:t>
      </w:r>
      <w:r>
        <w:rPr>
          <w:rFonts w:hint="default" w:ascii="Times New Roman" w:hAnsi="Times New Roman" w:cs="Times New Roman"/>
          <w:iCs/>
          <w:color w:val="auto"/>
          <w:sz w:val="20"/>
          <w:szCs w:val="20"/>
          <w:highlight w:val="none"/>
        </w:rPr>
        <w:t>spectrum shaping</w:t>
      </w:r>
      <w:r>
        <w:rPr>
          <w:rFonts w:hint="default" w:ascii="Times New Roman" w:hAnsi="Times New Roman" w:cs="Times New Roman"/>
          <w:color w:val="auto"/>
          <w:sz w:val="20"/>
          <w:szCs w:val="20"/>
          <w:highlight w:val="none"/>
        </w:rPr>
        <w:t xml:space="preserve"> </w:t>
      </w:r>
      <w:r>
        <w:rPr>
          <w:rFonts w:hint="default" w:ascii="Times New Roman" w:hAnsi="Times New Roman" w:cs="Times New Roman"/>
          <w:iCs/>
          <w:color w:val="auto"/>
          <w:sz w:val="20"/>
          <w:szCs w:val="20"/>
          <w:highlight w:val="none"/>
        </w:rPr>
        <w:t>with and without spectrum extension for DFT-S-OFDM and tone reservation</w:t>
      </w:r>
      <w:r>
        <w:rPr>
          <w:rFonts w:hint="default" w:ascii="Times New Roman" w:hAnsi="Times New Roman" w:cs="Times New Roman"/>
          <w:iCs/>
          <w:color w:val="auto"/>
          <w:sz w:val="20"/>
          <w:szCs w:val="20"/>
          <w:highlight w:val="none"/>
          <w:lang w:val="en-US" w:eastAsia="zh-CN"/>
        </w:rPr>
        <w:t>. The former one supports more CC in the UL</w:t>
      </w:r>
      <w:r>
        <w:rPr>
          <w:rFonts w:hint="eastAsia" w:cs="Times New Roman"/>
          <w:iCs/>
          <w:color w:val="auto"/>
          <w:sz w:val="20"/>
          <w:szCs w:val="20"/>
          <w:highlight w:val="none"/>
          <w:lang w:val="en-US" w:eastAsia="zh-CN"/>
        </w:rPr>
        <w:t xml:space="preserve"> inter-band CA and can sum of the power of each band. T</w:t>
      </w:r>
      <w:r>
        <w:rPr>
          <w:rFonts w:hint="default" w:ascii="Times New Roman" w:hAnsi="Times New Roman" w:cs="Times New Roman"/>
          <w:iCs/>
          <w:color w:val="auto"/>
          <w:sz w:val="20"/>
          <w:szCs w:val="20"/>
          <w:highlight w:val="none"/>
          <w:lang w:val="en-US" w:eastAsia="zh-CN"/>
        </w:rPr>
        <w:t xml:space="preserve">he latter one </w:t>
      </w:r>
      <w:r>
        <w:rPr>
          <w:rFonts w:hint="eastAsia" w:ascii="Times New Roman" w:hAnsi="Times New Roman" w:cs="Times New Roman"/>
          <w:iCs/>
          <w:color w:val="auto"/>
          <w:sz w:val="20"/>
          <w:szCs w:val="20"/>
          <w:highlight w:val="none"/>
          <w:lang w:val="en-US" w:eastAsia="zh-CN"/>
        </w:rPr>
        <w:t>supports FDSS w/o</w:t>
      </w:r>
      <w:r>
        <w:rPr>
          <w:sz w:val="20"/>
          <w:szCs w:val="20"/>
          <w:highlight w:val="none"/>
          <w:lang w:eastAsia="zh-CN"/>
        </w:rPr>
        <w:t xml:space="preserve"> spectrum extension</w:t>
      </w:r>
      <w:r>
        <w:rPr>
          <w:rFonts w:hint="eastAsia"/>
          <w:sz w:val="20"/>
          <w:szCs w:val="20"/>
          <w:highlight w:val="none"/>
          <w:lang w:val="en-US" w:eastAsia="zh-CN"/>
        </w:rPr>
        <w:t xml:space="preserve"> for QPSK and pi/2 BPSK for DFT-s-OFDM to further reduce the PAPR, consequently it c</w:t>
      </w:r>
      <w:r>
        <w:rPr>
          <w:rFonts w:hint="default" w:ascii="Times New Roman" w:hAnsi="Times New Roman" w:cs="Times New Roman"/>
          <w:iCs/>
          <w:color w:val="auto"/>
          <w:sz w:val="20"/>
          <w:szCs w:val="20"/>
          <w:highlight w:val="none"/>
          <w:lang w:val="en-US" w:eastAsia="zh-CN"/>
        </w:rPr>
        <w:t xml:space="preserve">an achieve 1dB MPR power boost for PC3 and 0.5dB MPR power boost for PC2, which means the UL maximum output power can increase. In addition to that, 3Tx UL </w:t>
      </w:r>
      <w:r>
        <w:rPr>
          <w:rFonts w:hint="eastAsia" w:cs="Times New Roman"/>
          <w:iCs/>
          <w:color w:val="auto"/>
          <w:sz w:val="20"/>
          <w:szCs w:val="20"/>
          <w:highlight w:val="none"/>
          <w:lang w:val="en-US" w:eastAsia="zh-CN"/>
        </w:rPr>
        <w:t xml:space="preserve">inter-band </w:t>
      </w:r>
      <w:r>
        <w:rPr>
          <w:rFonts w:hint="default" w:ascii="Times New Roman" w:hAnsi="Times New Roman" w:cs="Times New Roman"/>
          <w:iCs/>
          <w:color w:val="auto"/>
          <w:sz w:val="20"/>
          <w:szCs w:val="20"/>
          <w:highlight w:val="none"/>
          <w:lang w:val="en-US" w:eastAsia="zh-CN"/>
        </w:rPr>
        <w:t>CA was supported which combin</w:t>
      </w:r>
      <w:r>
        <w:rPr>
          <w:rFonts w:hint="eastAsia" w:cs="Times New Roman"/>
          <w:iCs/>
          <w:color w:val="auto"/>
          <w:sz w:val="20"/>
          <w:szCs w:val="20"/>
          <w:highlight w:val="none"/>
          <w:lang w:val="en-US" w:eastAsia="zh-CN"/>
        </w:rPr>
        <w:t>es the advantages from</w:t>
      </w:r>
      <w:r>
        <w:rPr>
          <w:rFonts w:hint="default" w:ascii="Times New Roman" w:hAnsi="Times New Roman" w:cs="Times New Roman"/>
          <w:iCs/>
          <w:color w:val="auto"/>
          <w:sz w:val="20"/>
          <w:szCs w:val="20"/>
          <w:highlight w:val="none"/>
          <w:lang w:val="en-US" w:eastAsia="zh-CN"/>
        </w:rPr>
        <w:t xml:space="preserve"> HPUE and UL MIMO to </w:t>
      </w:r>
      <w:r>
        <w:rPr>
          <w:rFonts w:hint="eastAsia" w:ascii="Times New Roman" w:hAnsi="Times New Roman" w:cs="Times New Roman"/>
          <w:iCs/>
          <w:color w:val="auto"/>
          <w:sz w:val="20"/>
          <w:szCs w:val="20"/>
          <w:highlight w:val="none"/>
          <w:lang w:val="en-US" w:eastAsia="zh-CN"/>
        </w:rPr>
        <w:t xml:space="preserve">further </w:t>
      </w:r>
      <w:r>
        <w:rPr>
          <w:rFonts w:hint="default" w:ascii="Times New Roman" w:hAnsi="Times New Roman" w:cs="Times New Roman"/>
          <w:iCs/>
          <w:color w:val="auto"/>
          <w:sz w:val="20"/>
          <w:szCs w:val="20"/>
          <w:highlight w:val="none"/>
          <w:lang w:val="en-US" w:eastAsia="zh-CN"/>
        </w:rPr>
        <w:t>enhance the UL coverage</w:t>
      </w:r>
      <w:r>
        <w:rPr>
          <w:rFonts w:hint="eastAsia" w:ascii="Times New Roman" w:hAnsi="Times New Roman" w:cs="Times New Roman"/>
          <w:iCs/>
          <w:color w:val="auto"/>
          <w:sz w:val="20"/>
          <w:szCs w:val="20"/>
          <w:highlight w:val="none"/>
          <w:lang w:val="en-US" w:eastAsia="zh-CN"/>
        </w:rPr>
        <w:t xml:space="preserve">. For single band, high order UL MIMO(i.e. 4Tx) was supported, although it is for FWA form factor, 4Tx UL MIMO can provide superior coverage compared to 2Tx UL MIMO primarily through more advanced beamforming (Spatial Multiplexing) and higher order diversity gains. This results in a stronger, more focused signal that can reach further and is more resilient to signal fading.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In Rel-19, Power boosting and/or MPR reduction mechanism was introduced, where an extended channel bandwidth solution was raised with the aim of reducing MPR in outer and edge RB allocation through relaxing out-of-band emission domain. This mechanism converts outer and edge RB allocation to inner RB allocation and achieves about 1 ~ 2dB MPR reduction to further improve UL coverage</w:t>
      </w:r>
      <w:r>
        <w:rPr>
          <w:rFonts w:hint="eastAsia" w:cs="Times New Roman"/>
          <w:sz w:val="20"/>
          <w:szCs w:val="20"/>
          <w:highlight w:val="none"/>
          <w:lang w:val="en-US"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Observation </w:t>
      </w:r>
      <w:r>
        <w:rPr>
          <w:rFonts w:hint="eastAsia" w:cs="Times New Roman"/>
          <w:b/>
          <w:bCs/>
          <w:sz w:val="20"/>
          <w:szCs w:val="20"/>
          <w:highlight w:val="none"/>
          <w:lang w:val="en-US" w:eastAsia="zh-CN"/>
        </w:rPr>
        <w:t>1</w:t>
      </w:r>
      <w:r>
        <w:rPr>
          <w:rFonts w:hint="eastAsia" w:ascii="Times New Roman" w:hAnsi="Times New Roman" w:cs="Times New Roman"/>
          <w:b/>
          <w:bCs/>
          <w:sz w:val="20"/>
          <w:szCs w:val="20"/>
          <w:highlight w:val="none"/>
          <w:lang w:val="en-US" w:eastAsia="zh-CN"/>
        </w:rPr>
        <w:t xml:space="preserve">. </w:t>
      </w:r>
      <w:r>
        <w:rPr>
          <w:rFonts w:hint="eastAsia" w:cs="Times New Roman"/>
          <w:b/>
          <w:bCs/>
          <w:sz w:val="20"/>
          <w:szCs w:val="20"/>
          <w:highlight w:val="none"/>
          <w:lang w:val="en-US" w:eastAsia="zh-CN"/>
        </w:rPr>
        <w:t>There were m</w:t>
      </w:r>
      <w:r>
        <w:rPr>
          <w:rFonts w:hint="eastAsia" w:ascii="Times New Roman" w:hAnsi="Times New Roman" w:cs="Times New Roman"/>
          <w:b/>
          <w:bCs/>
          <w:sz w:val="20"/>
          <w:szCs w:val="20"/>
          <w:highlight w:val="none"/>
          <w:lang w:val="en-US" w:eastAsia="zh-CN"/>
        </w:rPr>
        <w:t xml:space="preserve">any </w:t>
      </w:r>
      <w:r>
        <w:rPr>
          <w:rFonts w:hint="default" w:ascii="Times New Roman" w:hAnsi="Times New Roman" w:cs="Times New Roman"/>
          <w:b/>
          <w:bCs/>
          <w:sz w:val="20"/>
          <w:szCs w:val="20"/>
          <w:highlight w:val="none"/>
          <w:lang w:val="en-US" w:eastAsia="zh-CN"/>
        </w:rPr>
        <w:t>mechanisms introduced</w:t>
      </w:r>
      <w:r>
        <w:rPr>
          <w:rFonts w:hint="eastAsia" w:cs="Times New Roman"/>
          <w:b/>
          <w:bCs/>
          <w:sz w:val="20"/>
          <w:szCs w:val="20"/>
          <w:highlight w:val="none"/>
          <w:lang w:val="en-US" w:eastAsia="zh-CN"/>
        </w:rPr>
        <w:t xml:space="preserve"> to increase UL coverage in 5G NR.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ascii="Times New Roman" w:hAnsi="Times New Roman" w:eastAsia="宋体" w:cs="Times New Roman"/>
          <w:i w:val="0"/>
          <w:iCs w:val="0"/>
          <w:caps w:val="0"/>
          <w:color w:val="000000"/>
          <w:spacing w:val="0"/>
          <w:sz w:val="20"/>
          <w:szCs w:val="20"/>
          <w:highlight w:val="none"/>
          <w:shd w:val="clear" w:fill="FFFFFF"/>
          <w:lang w:val="en-US"/>
        </w:rPr>
      </w:pPr>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2.1.</w:t>
      </w:r>
      <w:r>
        <w:rPr>
          <w:rFonts w:hint="eastAsia" w:cs="Times New Roman"/>
          <w:b/>
          <w:bCs/>
          <w:i w:val="0"/>
          <w:iCs w:val="0"/>
          <w:caps w:val="0"/>
          <w:color w:val="000000"/>
          <w:spacing w:val="0"/>
          <w:sz w:val="20"/>
          <w:szCs w:val="20"/>
          <w:highlight w:val="none"/>
          <w:shd w:val="clear" w:fill="FFFFFF"/>
          <w:lang w:val="en-US" w:eastAsia="zh-CN"/>
        </w:rPr>
        <w:t>2</w:t>
      </w:r>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 xml:space="preserve"> </w:t>
      </w:r>
      <w:r>
        <w:rPr>
          <w:rFonts w:hint="eastAsia" w:cs="Times New Roman"/>
          <w:b/>
          <w:bCs/>
          <w:i w:val="0"/>
          <w:iCs w:val="0"/>
          <w:caps w:val="0"/>
          <w:color w:val="000000"/>
          <w:spacing w:val="0"/>
          <w:sz w:val="20"/>
          <w:szCs w:val="20"/>
          <w:highlight w:val="none"/>
          <w:shd w:val="clear" w:fill="FFFFFF"/>
          <w:lang w:val="en-US" w:eastAsia="zh-CN"/>
        </w:rPr>
        <w:t>6</w:t>
      </w:r>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GR UL coverage</w:t>
      </w:r>
      <w:r>
        <w:rPr>
          <w:rFonts w:hint="eastAsia" w:cs="Times New Roman"/>
          <w:b/>
          <w:bCs/>
          <w:i w:val="0"/>
          <w:iCs w:val="0"/>
          <w:caps w:val="0"/>
          <w:color w:val="000000"/>
          <w:spacing w:val="0"/>
          <w:sz w:val="20"/>
          <w:szCs w:val="20"/>
          <w:highlight w:val="none"/>
          <w:shd w:val="clear" w:fill="FFFFFF"/>
          <w:lang w:val="en-US" w:eastAsia="zh-CN"/>
        </w:rPr>
        <w:t xml:space="preserve"> consideration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eastAsia="宋体" w:cs="Times New Roman"/>
          <w:i w:val="0"/>
          <w:iCs w:val="0"/>
          <w:caps w:val="0"/>
          <w:color w:val="000000"/>
          <w:spacing w:val="0"/>
          <w:sz w:val="20"/>
          <w:szCs w:val="20"/>
          <w:highlight w:val="none"/>
          <w:shd w:val="clear" w:fill="FFFFFF"/>
          <w:lang w:val="en-US" w:eastAsia="zh-CN"/>
        </w:rPr>
      </w:pPr>
      <w:r>
        <w:rPr>
          <w:rFonts w:hint="eastAsia" w:ascii="Times New Roman" w:hAnsi="Times New Roman" w:eastAsia="宋体" w:cs="Times New Roman"/>
          <w:i w:val="0"/>
          <w:iCs w:val="0"/>
          <w:caps w:val="0"/>
          <w:color w:val="000000"/>
          <w:spacing w:val="0"/>
          <w:sz w:val="20"/>
          <w:szCs w:val="20"/>
          <w:highlight w:val="none"/>
          <w:shd w:val="clear" w:fill="FFFFFF"/>
          <w:lang w:val="en-US" w:eastAsia="zh-CN"/>
        </w:rPr>
        <w:t xml:space="preserve">For 6GR, UL coverage is also a vital objective according to the SID, especially </w:t>
      </w:r>
      <w:r>
        <w:rPr>
          <w:rFonts w:hint="eastAsia" w:cs="Times New Roman"/>
          <w:i w:val="0"/>
          <w:iCs w:val="0"/>
          <w:caps w:val="0"/>
          <w:color w:val="000000"/>
          <w:spacing w:val="0"/>
          <w:sz w:val="20"/>
          <w:szCs w:val="20"/>
          <w:highlight w:val="none"/>
          <w:shd w:val="clear" w:fill="FFFFFF"/>
          <w:lang w:val="en-US" w:eastAsia="zh-CN"/>
        </w:rPr>
        <w:t xml:space="preserve">for </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6G deployments in at least around 7 GHz</w:t>
      </w:r>
      <w:r>
        <w:rPr>
          <w:rFonts w:hint="eastAsia" w:cs="Times New Roman"/>
          <w:i w:val="0"/>
          <w:iCs w:val="0"/>
          <w:caps w:val="0"/>
          <w:color w:val="000000"/>
          <w:spacing w:val="0"/>
          <w:sz w:val="20"/>
          <w:szCs w:val="20"/>
          <w:highlight w:val="none"/>
          <w:shd w:val="clear" w:fill="FFFFFF"/>
          <w:lang w:val="en-US" w:eastAsia="zh-CN"/>
        </w:rPr>
        <w:t xml:space="preserve">, the </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existing 5G mid-band (~3.5GHz) site grid</w:t>
      </w:r>
      <w:r>
        <w:rPr>
          <w:rFonts w:hint="eastAsia" w:cs="Times New Roman"/>
          <w:i w:val="0"/>
          <w:iCs w:val="0"/>
          <w:caps w:val="0"/>
          <w:color w:val="000000"/>
          <w:spacing w:val="0"/>
          <w:sz w:val="20"/>
          <w:szCs w:val="20"/>
          <w:highlight w:val="none"/>
          <w:shd w:val="clear" w:fill="FFFFFF"/>
          <w:lang w:val="en-US" w:eastAsia="zh-CN"/>
        </w:rPr>
        <w:t xml:space="preserve"> was re-used and</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 xml:space="preserve"> targeting comparable coverage to 5G mid-band.</w:t>
      </w:r>
      <w:r>
        <w:rPr>
          <w:rFonts w:hint="eastAsia" w:cs="Times New Roman"/>
          <w:i w:val="0"/>
          <w:iCs w:val="0"/>
          <w:caps w:val="0"/>
          <w:color w:val="000000"/>
          <w:spacing w:val="0"/>
          <w:sz w:val="20"/>
          <w:szCs w:val="20"/>
          <w:highlight w:val="none"/>
          <w:shd w:val="clear" w:fill="FFFFFF"/>
          <w:lang w:val="en-US" w:eastAsia="zh-CN"/>
        </w:rPr>
        <w:t xml:space="preserve"> However, due to the high </w:t>
      </w:r>
      <w:r>
        <w:rPr>
          <w:rFonts w:hint="eastAsia" w:cs="Times New Roman"/>
          <w:i w:val="0"/>
          <w:iCs w:val="0"/>
          <w:color w:val="000000"/>
          <w:spacing w:val="0"/>
          <w:sz w:val="20"/>
          <w:szCs w:val="20"/>
          <w:highlight w:val="none"/>
          <w:shd w:val="clear" w:fill="FFFFFF"/>
          <w:lang w:val="en-US" w:eastAsia="zh-CN"/>
        </w:rPr>
        <w:t xml:space="preserve">propagation loss for the high frequency range, there exists large gap for the UL coverage between </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around 7 GHz</w:t>
      </w:r>
      <w:r>
        <w:rPr>
          <w:rFonts w:hint="eastAsia" w:cs="Times New Roman"/>
          <w:i w:val="0"/>
          <w:iCs w:val="0"/>
          <w:caps w:val="0"/>
          <w:color w:val="000000"/>
          <w:spacing w:val="0"/>
          <w:sz w:val="20"/>
          <w:szCs w:val="20"/>
          <w:highlight w:val="none"/>
          <w:shd w:val="clear" w:fill="FFFFFF"/>
          <w:lang w:val="en-US" w:eastAsia="zh-CN"/>
        </w:rPr>
        <w:t xml:space="preserve"> and </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existing 5G mid-band (~3.5GHz)</w:t>
      </w:r>
      <w:r>
        <w:rPr>
          <w:rFonts w:hint="eastAsia" w:cs="Times New Roman"/>
          <w:i w:val="0"/>
          <w:iCs w:val="0"/>
          <w:caps w:val="0"/>
          <w:color w:val="000000"/>
          <w:spacing w:val="0"/>
          <w:sz w:val="20"/>
          <w:szCs w:val="20"/>
          <w:highlight w:val="none"/>
          <w:shd w:val="clear" w:fill="FFFFFF"/>
          <w:lang w:val="en-US" w:eastAsia="zh-CN"/>
        </w:rPr>
        <w:t>. In our initial test in the filed, we found there exists ~15dB gap</w:t>
      </w:r>
      <w:r>
        <w:rPr>
          <w:rFonts w:hint="eastAsia" w:cs="Times New Roman"/>
          <w:i w:val="0"/>
          <w:iCs w:val="0"/>
          <w:color w:val="000000"/>
          <w:spacing w:val="0"/>
          <w:sz w:val="20"/>
          <w:szCs w:val="20"/>
          <w:highlight w:val="none"/>
          <w:shd w:val="clear" w:fill="FFFFFF"/>
          <w:lang w:val="en-US" w:eastAsia="zh-CN"/>
        </w:rPr>
        <w:t xml:space="preserve"> between </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around 7 GHz</w:t>
      </w:r>
      <w:r>
        <w:rPr>
          <w:rFonts w:hint="eastAsia" w:cs="Times New Roman"/>
          <w:i w:val="0"/>
          <w:iCs w:val="0"/>
          <w:caps w:val="0"/>
          <w:color w:val="000000"/>
          <w:spacing w:val="0"/>
          <w:sz w:val="20"/>
          <w:szCs w:val="20"/>
          <w:highlight w:val="none"/>
          <w:shd w:val="clear" w:fill="FFFFFF"/>
          <w:lang w:val="en-US" w:eastAsia="zh-CN"/>
        </w:rPr>
        <w:t xml:space="preserve"> and </w:t>
      </w:r>
      <w:r>
        <w:rPr>
          <w:rFonts w:hint="eastAsia" w:ascii="Times New Roman" w:hAnsi="Times New Roman" w:eastAsia="宋体" w:cs="Times New Roman"/>
          <w:i w:val="0"/>
          <w:iCs w:val="0"/>
          <w:caps w:val="0"/>
          <w:color w:val="000000"/>
          <w:spacing w:val="0"/>
          <w:sz w:val="20"/>
          <w:szCs w:val="20"/>
          <w:highlight w:val="none"/>
          <w:shd w:val="clear" w:fill="FFFFFF"/>
          <w:lang w:val="en-US" w:eastAsia="en-GB"/>
        </w:rPr>
        <w:t>3.5GHz</w:t>
      </w:r>
      <w:r>
        <w:rPr>
          <w:rFonts w:hint="eastAsia" w:cs="Times New Roman"/>
          <w:i w:val="0"/>
          <w:iCs w:val="0"/>
          <w:caps w:val="0"/>
          <w:color w:val="000000"/>
          <w:spacing w:val="0"/>
          <w:sz w:val="20"/>
          <w:szCs w:val="20"/>
          <w:highlight w:val="none"/>
          <w:shd w:val="clear" w:fill="FFFFFF"/>
          <w:lang w:val="en-US" w:eastAsia="zh-CN"/>
        </w:rPr>
        <w:t xml:space="preserve">. Thus it is quite important to discuss how to further </w:t>
      </w:r>
      <w:r>
        <w:rPr>
          <w:rFonts w:hint="eastAsia" w:ascii="Times New Roman" w:hAnsi="Times New Roman" w:eastAsia="宋体" w:cs="Times New Roman"/>
          <w:i w:val="0"/>
          <w:iCs w:val="0"/>
          <w:caps w:val="0"/>
          <w:color w:val="000000"/>
          <w:spacing w:val="0"/>
          <w:sz w:val="20"/>
          <w:szCs w:val="20"/>
          <w:highlight w:val="none"/>
          <w:shd w:val="clear" w:fill="FFFFFF"/>
          <w:lang w:val="en-US" w:eastAsia="zh-CN"/>
        </w:rPr>
        <w:t>improve the UL coverage consideration for 6GR.</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eastAsia"/>
          <w:sz w:val="20"/>
          <w:szCs w:val="20"/>
          <w:highlight w:val="none"/>
          <w:lang w:val="en-US" w:eastAsia="zh-CN"/>
        </w:rPr>
      </w:pPr>
      <w:r>
        <w:rPr>
          <w:rFonts w:hint="eastAsia"/>
          <w:sz w:val="20"/>
          <w:szCs w:val="20"/>
          <w:highlight w:val="none"/>
          <w:lang w:val="en-US" w:eastAsia="zh-CN"/>
        </w:rPr>
        <w:t>In our view, for 6GR UL coverage consideration from RAN4 perspective, some aspects of large array UL MIMO, coherent UL MIMO, low PAPR waveform, relax requirement such as EVM/MPR to increase the transmission output power can be considered:</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default"/>
          <w:sz w:val="20"/>
          <w:szCs w:val="20"/>
          <w:highlight w:val="none"/>
          <w:lang w:val="en-US" w:eastAsia="zh-CN"/>
        </w:rPr>
      </w:pPr>
      <w:r>
        <w:rPr>
          <w:rFonts w:hint="eastAsia"/>
          <w:b/>
          <w:bCs/>
          <w:sz w:val="20"/>
          <w:szCs w:val="20"/>
          <w:highlight w:val="none"/>
          <w:lang w:val="en-US" w:eastAsia="zh-CN"/>
        </w:rPr>
        <w:t xml:space="preserve">- Large array UL MIMO/TxD: </w:t>
      </w:r>
      <w:r>
        <w:rPr>
          <w:rFonts w:hint="eastAsia"/>
          <w:sz w:val="20"/>
          <w:szCs w:val="20"/>
          <w:highlight w:val="none"/>
          <w:lang w:val="en-US" w:eastAsia="zh-CN"/>
        </w:rPr>
        <w:t>Large Array UL MIMO can fundamentally improve uplink coverage with the benefits of power combining, array gain such as s</w:t>
      </w:r>
      <w:r>
        <w:rPr>
          <w:rFonts w:hint="default"/>
          <w:sz w:val="20"/>
          <w:szCs w:val="20"/>
          <w:highlight w:val="none"/>
          <w:lang w:val="en-US" w:eastAsia="zh-CN"/>
        </w:rPr>
        <w:t xml:space="preserve">patial </w:t>
      </w:r>
      <w:r>
        <w:rPr>
          <w:rFonts w:hint="eastAsia"/>
          <w:sz w:val="20"/>
          <w:szCs w:val="20"/>
          <w:highlight w:val="none"/>
          <w:lang w:val="en-US" w:eastAsia="zh-CN"/>
        </w:rPr>
        <w:t>m</w:t>
      </w:r>
      <w:r>
        <w:rPr>
          <w:rFonts w:hint="default"/>
          <w:sz w:val="20"/>
          <w:szCs w:val="20"/>
          <w:highlight w:val="none"/>
          <w:lang w:val="en-US" w:eastAsia="zh-CN"/>
        </w:rPr>
        <w:t xml:space="preserve">ultiplexing </w:t>
      </w:r>
      <w:r>
        <w:rPr>
          <w:rFonts w:hint="eastAsia"/>
          <w:sz w:val="20"/>
          <w:szCs w:val="20"/>
          <w:highlight w:val="none"/>
          <w:lang w:val="en-US" w:eastAsia="zh-CN"/>
        </w:rPr>
        <w:t>g</w:t>
      </w:r>
      <w:r>
        <w:rPr>
          <w:rFonts w:hint="default"/>
          <w:sz w:val="20"/>
          <w:szCs w:val="20"/>
          <w:highlight w:val="none"/>
          <w:lang w:val="en-US" w:eastAsia="zh-CN"/>
        </w:rPr>
        <w:t>ain</w:t>
      </w:r>
      <w:r>
        <w:rPr>
          <w:rFonts w:hint="eastAsia"/>
          <w:sz w:val="20"/>
          <w:szCs w:val="20"/>
          <w:highlight w:val="none"/>
          <w:lang w:val="en-US" w:eastAsia="zh-CN"/>
        </w:rPr>
        <w:t xml:space="preserve"> and diversity gain etc. This "array gain" directly improves the SNR. The base station can receive a signal than a single antenna ever at the edge of the cell, where the signal is weak, the high SNR allows for the use of higher order modulation schemes (e.g., 256QAM instead of QPSK), resulting in faster upload speeds. In 5G NR, 4Tx is only for FWA form factor and PC1.5 is supported in Rel-19 and PC1(or PC1b) is supported in Rel-20. However, for handheld UE, only PC1.5 via 2Tx with 2*26dBm is supported. To increase the UL transmission power, large array UL MIMO/TxD with high capability PA should be taken into account for handheld UE, especially for around 7GHz.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highlight w:val="none"/>
          <w:lang w:val="en-US" w:eastAsia="zh-CN"/>
        </w:rPr>
      </w:pPr>
      <w:r>
        <w:rPr>
          <w:rFonts w:hint="eastAsia"/>
          <w:b/>
          <w:bCs/>
          <w:sz w:val="20"/>
          <w:szCs w:val="20"/>
          <w:highlight w:val="none"/>
          <w:lang w:val="en-US" w:eastAsia="zh-CN"/>
        </w:rPr>
        <w:t>- Coherent UL MIMO:</w:t>
      </w:r>
      <w:r>
        <w:rPr>
          <w:rFonts w:hint="eastAsia"/>
          <w:sz w:val="20"/>
          <w:szCs w:val="20"/>
          <w:highlight w:val="none"/>
          <w:lang w:val="en-US" w:eastAsia="zh-CN"/>
        </w:rPr>
        <w:t xml:space="preserve"> </w:t>
      </w:r>
      <w:r>
        <w:rPr>
          <w:rFonts w:hint="eastAsia"/>
          <w:bCs/>
          <w:i w:val="0"/>
          <w:iCs/>
          <w:sz w:val="20"/>
          <w:szCs w:val="20"/>
          <w:highlight w:val="none"/>
          <w:lang w:val="en-US" w:eastAsia="zh-CN"/>
        </w:rPr>
        <w:t>Coherent UL MIMO occurs when multiple antennas on a user device transmit the same signal in a</w:t>
      </w:r>
      <w:r>
        <w:rPr>
          <w:rFonts w:hint="default"/>
          <w:bCs/>
          <w:i w:val="0"/>
          <w:iCs/>
          <w:sz w:val="20"/>
          <w:szCs w:val="20"/>
          <w:highlight w:val="none"/>
          <w:lang w:val="en-US" w:eastAsia="zh-CN"/>
        </w:rPr>
        <w:t> time-synchronized and phase-coherent manner. This allows the base station to see the multiple transmissions as one powerful, combined signal.</w:t>
      </w:r>
      <w:r>
        <w:rPr>
          <w:rFonts w:hint="eastAsia"/>
          <w:bCs/>
          <w:i w:val="0"/>
          <w:iCs/>
          <w:sz w:val="20"/>
          <w:szCs w:val="20"/>
          <w:highlight w:val="none"/>
          <w:lang w:val="en-US" w:eastAsia="zh-CN"/>
        </w:rPr>
        <w:t xml:space="preserve"> Coherent UL MIMO requirements were defined in 5G NR but it was never be </w:t>
      </w:r>
      <w:r>
        <w:rPr>
          <w:rFonts w:hint="eastAsia"/>
          <w:sz w:val="20"/>
          <w:highlight w:val="none"/>
          <w:lang w:val="en-US" w:eastAsia="zh-CN"/>
        </w:rPr>
        <w:t xml:space="preserve">implemented in the field. For 6GR, we think it is reasonable to enable </w:t>
      </w:r>
      <w:r>
        <w:rPr>
          <w:rFonts w:hint="eastAsia"/>
          <w:sz w:val="20"/>
          <w:szCs w:val="20"/>
          <w:highlight w:val="none"/>
          <w:lang w:val="en-US" w:eastAsia="zh-CN"/>
        </w:rPr>
        <w:t>Coherent UL MIMO feature.</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default"/>
          <w:sz w:val="20"/>
          <w:szCs w:val="20"/>
          <w:highlight w:val="none"/>
          <w:lang w:val="en-US" w:eastAsia="zh-CN"/>
        </w:rPr>
      </w:pPr>
      <w:r>
        <w:rPr>
          <w:rFonts w:hint="eastAsia"/>
          <w:b/>
          <w:bCs/>
          <w:sz w:val="20"/>
          <w:highlight w:val="none"/>
          <w:lang w:val="en-US" w:eastAsia="zh-CN"/>
        </w:rPr>
        <w:t>- Low PAPR waveform(FDSS):</w:t>
      </w:r>
      <w:r>
        <w:rPr>
          <w:rFonts w:hint="eastAsia"/>
          <w:sz w:val="20"/>
          <w:highlight w:val="none"/>
          <w:lang w:val="en-US" w:eastAsia="zh-CN"/>
        </w:rPr>
        <w:t xml:space="preserve"> </w:t>
      </w:r>
      <w:r>
        <w:rPr>
          <w:rFonts w:hint="eastAsia"/>
          <w:sz w:val="20"/>
          <w:szCs w:val="20"/>
          <w:highlight w:val="none"/>
          <w:lang w:val="en-US" w:eastAsia="zh-CN"/>
        </w:rPr>
        <w:t>In 5G NR, the FDSS w/o</w:t>
      </w:r>
      <w:r>
        <w:rPr>
          <w:sz w:val="20"/>
          <w:szCs w:val="20"/>
          <w:highlight w:val="none"/>
          <w:lang w:eastAsia="zh-CN"/>
        </w:rPr>
        <w:t xml:space="preserve"> spectrum extension</w:t>
      </w:r>
      <w:r>
        <w:rPr>
          <w:rFonts w:hint="eastAsia"/>
          <w:sz w:val="20"/>
          <w:szCs w:val="20"/>
          <w:highlight w:val="none"/>
          <w:lang w:val="en-US" w:eastAsia="zh-CN"/>
        </w:rPr>
        <w:t xml:space="preserve"> was introduced to reduce the PAPR for QPSK and </w:t>
      </w:r>
      <w:r>
        <w:rPr>
          <w:rFonts w:hint="eastAsia"/>
          <w:sz w:val="20"/>
          <w:szCs w:val="20"/>
          <w:highlight w:val="none"/>
        </w:rPr>
        <w:t>pi/2 BPSK</w:t>
      </w:r>
      <w:r>
        <w:rPr>
          <w:rFonts w:hint="eastAsia"/>
          <w:sz w:val="20"/>
          <w:szCs w:val="20"/>
          <w:highlight w:val="none"/>
          <w:lang w:val="en-US" w:eastAsia="zh-CN"/>
        </w:rPr>
        <w:t xml:space="preserve">, and FDSS w/o is only for </w:t>
      </w:r>
      <w:r>
        <w:rPr>
          <w:rFonts w:hint="eastAsia"/>
          <w:sz w:val="20"/>
          <w:szCs w:val="20"/>
          <w:highlight w:val="none"/>
        </w:rPr>
        <w:t>DFT-s-OFDM</w:t>
      </w:r>
      <w:r>
        <w:rPr>
          <w:rFonts w:hint="eastAsia"/>
          <w:sz w:val="20"/>
          <w:szCs w:val="20"/>
          <w:highlight w:val="none"/>
          <w:lang w:val="en-US" w:eastAsia="zh-CN"/>
        </w:rPr>
        <w:t>. With FDSS help, the signal in the frequency domain can be smoothed which directly reduces the time-domain peaks. This results in a lower PAPR. Lower PAPR means the UE</w:t>
      </w:r>
      <w:r>
        <w:rPr>
          <w:rFonts w:hint="default"/>
          <w:sz w:val="20"/>
          <w:szCs w:val="20"/>
          <w:highlight w:val="none"/>
          <w:lang w:val="en-US" w:eastAsia="zh-CN"/>
        </w:rPr>
        <w:t>’</w:t>
      </w:r>
      <w:r>
        <w:rPr>
          <w:rFonts w:hint="eastAsia"/>
          <w:sz w:val="20"/>
          <w:szCs w:val="20"/>
          <w:highlight w:val="none"/>
          <w:lang w:val="en-US" w:eastAsia="zh-CN"/>
        </w:rPr>
        <w:t>s PA can transmit higher power and operate at much more efficiently. It can be driven closer to its maximum power</w:t>
      </w:r>
      <w:r>
        <w:rPr>
          <w:rFonts w:hint="default"/>
          <w:sz w:val="20"/>
          <w:szCs w:val="20"/>
          <w:highlight w:val="none"/>
          <w:lang w:val="en-US" w:eastAsia="zh-CN"/>
        </w:rPr>
        <w:t xml:space="preserve"> without distortion. This means more effective radiated power is sent towards the base station. </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eastAsia"/>
          <w:sz w:val="20"/>
          <w:szCs w:val="20"/>
          <w:highlight w:val="none"/>
          <w:lang w:val="en-US" w:eastAsia="zh-CN"/>
        </w:rPr>
      </w:pPr>
      <w:r>
        <w:rPr>
          <w:rFonts w:hint="eastAsia"/>
          <w:sz w:val="20"/>
          <w:szCs w:val="20"/>
          <w:highlight w:val="none"/>
          <w:lang w:val="en-US" w:eastAsia="zh-CN"/>
        </w:rPr>
        <w:t xml:space="preserve">For 6GR, </w:t>
      </w:r>
      <w:r>
        <w:rPr>
          <w:sz w:val="20"/>
          <w:szCs w:val="20"/>
          <w:highlight w:val="none"/>
        </w:rPr>
        <w:t>it’s reasonable to further consider this direction</w:t>
      </w:r>
      <w:r>
        <w:rPr>
          <w:rFonts w:hint="eastAsia"/>
          <w:sz w:val="20"/>
          <w:szCs w:val="20"/>
          <w:highlight w:val="none"/>
          <w:lang w:val="en-US" w:eastAsia="zh-CN"/>
        </w:rPr>
        <w:t>, including high order modulations, and CP-OFDM as well.</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default"/>
          <w:sz w:val="20"/>
          <w:szCs w:val="20"/>
          <w:highlight w:val="none"/>
          <w:lang w:val="en-US" w:eastAsia="zh-CN"/>
        </w:rPr>
      </w:pPr>
      <w:r>
        <w:rPr>
          <w:rFonts w:hint="eastAsia"/>
          <w:sz w:val="20"/>
          <w:szCs w:val="20"/>
          <w:highlight w:val="none"/>
          <w:lang w:val="en-US" w:eastAsia="zh-CN"/>
        </w:rPr>
        <w:t xml:space="preserve">- </w:t>
      </w:r>
      <w:r>
        <w:rPr>
          <w:rFonts w:hint="eastAsia"/>
          <w:b/>
          <w:bCs/>
          <w:sz w:val="20"/>
          <w:szCs w:val="20"/>
          <w:highlight w:val="none"/>
          <w:lang w:val="en-US" w:eastAsia="zh-CN"/>
        </w:rPr>
        <w:t xml:space="preserve">Relax EVM/MPR requirements: </w:t>
      </w:r>
      <w:r>
        <w:rPr>
          <w:rFonts w:hint="eastAsia"/>
          <w:sz w:val="20"/>
          <w:szCs w:val="20"/>
          <w:highlight w:val="none"/>
          <w:lang w:val="en-US" w:eastAsia="zh-CN"/>
        </w:rPr>
        <w:t xml:space="preserve">For high order modulations such as 64QAM and 256QAM, EVM is the domain factor for the MPR requirements, </w:t>
      </w:r>
      <w:r>
        <w:rPr>
          <w:sz w:val="20"/>
          <w:highlight w:val="none"/>
          <w:lang w:val="en-US" w:eastAsia="zh-CN"/>
        </w:rPr>
        <w:t>with the relaxation of Tx EVM requirements for 64QAM and 256QAM and advanced BS receiver, the enhancement of UE output power can be achieved and the uplink coverage for high modulation order can be improved accordingly</w:t>
      </w:r>
      <w:r>
        <w:rPr>
          <w:rFonts w:hint="eastAsia"/>
          <w:sz w:val="20"/>
          <w:szCs w:val="20"/>
          <w:highlight w:val="none"/>
          <w:lang w:val="en-US" w:eastAsia="zh-CN"/>
        </w:rPr>
        <w:t>. This direction was discussed for several meetings when RAN4 discussed the Rel-20 WID. For 6GR, it was already confirmed reduce UE MPR cause with relaxed EVM will be discussed in 6G study.</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default"/>
          <w:sz w:val="20"/>
          <w:szCs w:val="20"/>
          <w:highlight w:val="none"/>
          <w:lang w:val="en-US" w:eastAsia="zh-CN"/>
        </w:rPr>
      </w:pPr>
      <w:r>
        <w:rPr>
          <w:rFonts w:hint="eastAsia"/>
          <w:sz w:val="20"/>
          <w:szCs w:val="20"/>
          <w:highlight w:val="none"/>
          <w:lang w:val="en-US" w:eastAsia="zh-CN"/>
        </w:rPr>
        <w:t>More details can be found in section 2.2 and 2.3.</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eastAsia"/>
          <w:b/>
          <w:bCs/>
          <w:sz w:val="20"/>
          <w:szCs w:val="20"/>
          <w:highlight w:val="none"/>
          <w:lang w:val="en-US" w:eastAsia="zh-CN"/>
        </w:rPr>
      </w:pPr>
      <w:r>
        <w:rPr>
          <w:rFonts w:hint="eastAsia"/>
          <w:b/>
          <w:bCs/>
          <w:sz w:val="20"/>
          <w:szCs w:val="20"/>
          <w:highlight w:val="none"/>
          <w:lang w:val="en-US" w:eastAsia="zh-CN"/>
        </w:rPr>
        <w:t>Proposal 1: To consider the following aspects for 6GR coverage enhancement in RAN4:</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ind w:left="420" w:leftChars="0" w:firstLine="420" w:firstLineChars="0"/>
        <w:jc w:val="both"/>
        <w:textAlignment w:val="baseline"/>
        <w:rPr>
          <w:rFonts w:hint="default"/>
          <w:b/>
          <w:bCs/>
          <w:sz w:val="20"/>
          <w:szCs w:val="20"/>
          <w:highlight w:val="none"/>
          <w:lang w:val="en-US" w:eastAsia="zh-CN"/>
        </w:rPr>
      </w:pPr>
      <w:r>
        <w:rPr>
          <w:rFonts w:hint="eastAsia"/>
          <w:b/>
          <w:bCs/>
          <w:sz w:val="20"/>
          <w:szCs w:val="20"/>
          <w:highlight w:val="none"/>
          <w:lang w:val="en-US" w:eastAsia="zh-CN"/>
        </w:rPr>
        <w:t xml:space="preserve">- Large array UL MIMO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420" w:leftChars="0" w:firstLine="420" w:firstLineChars="0"/>
        <w:jc w:val="both"/>
        <w:textAlignment w:val="auto"/>
        <w:rPr>
          <w:rFonts w:hint="default"/>
          <w:b/>
          <w:bCs/>
          <w:sz w:val="20"/>
          <w:highlight w:val="none"/>
          <w:lang w:val="en-US" w:eastAsia="zh-CN"/>
        </w:rPr>
      </w:pPr>
      <w:r>
        <w:rPr>
          <w:rFonts w:hint="eastAsia"/>
          <w:b/>
          <w:bCs/>
          <w:sz w:val="20"/>
          <w:szCs w:val="20"/>
          <w:highlight w:val="none"/>
          <w:lang w:val="en-US" w:eastAsia="zh-CN"/>
        </w:rPr>
        <w:t>- Coherent UL MIMO</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ind w:left="420" w:leftChars="0" w:firstLine="420" w:firstLineChars="0"/>
        <w:jc w:val="both"/>
        <w:textAlignment w:val="baseline"/>
        <w:rPr>
          <w:rFonts w:hint="default"/>
          <w:b/>
          <w:bCs/>
          <w:sz w:val="20"/>
          <w:szCs w:val="20"/>
          <w:highlight w:val="none"/>
          <w:lang w:val="en-US" w:eastAsia="zh-CN"/>
        </w:rPr>
      </w:pPr>
      <w:r>
        <w:rPr>
          <w:rFonts w:hint="eastAsia"/>
          <w:b/>
          <w:bCs/>
          <w:sz w:val="20"/>
          <w:highlight w:val="none"/>
          <w:lang w:val="en-US" w:eastAsia="zh-CN"/>
        </w:rPr>
        <w:t>- Low PAPR waveform (FDSS) for high order modulation and CP-OFDM</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ind w:left="420" w:leftChars="0" w:firstLine="420" w:firstLineChars="0"/>
        <w:jc w:val="both"/>
        <w:textAlignment w:val="baseline"/>
        <w:rPr>
          <w:rFonts w:hint="default"/>
          <w:b/>
          <w:bCs/>
          <w:sz w:val="20"/>
          <w:szCs w:val="20"/>
          <w:highlight w:val="none"/>
          <w:lang w:val="en-US" w:eastAsia="zh-CN"/>
        </w:rPr>
      </w:pPr>
      <w:r>
        <w:rPr>
          <w:rFonts w:hint="eastAsia"/>
          <w:b/>
          <w:bCs/>
          <w:sz w:val="20"/>
          <w:szCs w:val="20"/>
          <w:highlight w:val="none"/>
          <w:lang w:val="en-US" w:eastAsia="zh-CN"/>
        </w:rPr>
        <w:t>- Relax EVM/MPR requirements</w:t>
      </w:r>
    </w:p>
    <w:p>
      <w:pPr>
        <w:keepNext w:val="0"/>
        <w:keepLines w:val="0"/>
        <w:pageBreakBefore w:val="0"/>
        <w:widowControl w:val="0"/>
        <w:numPr>
          <w:ilvl w:val="255"/>
          <w:numId w:val="0"/>
        </w:numPr>
        <w:kinsoku/>
        <w:wordWrap/>
        <w:overflowPunct w:val="0"/>
        <w:topLinePunct w:val="0"/>
        <w:autoSpaceDE w:val="0"/>
        <w:autoSpaceDN w:val="0"/>
        <w:bidi w:val="0"/>
        <w:adjustRightInd w:val="0"/>
        <w:snapToGrid w:val="0"/>
        <w:spacing w:before="120" w:beforeLines="50" w:after="120" w:afterLines="50"/>
        <w:jc w:val="both"/>
        <w:textAlignment w:val="baseline"/>
        <w:rPr>
          <w:rFonts w:hint="default"/>
          <w:sz w:val="20"/>
          <w:szCs w:val="20"/>
          <w:highlight w:val="none"/>
          <w:lang w:val="en-US" w:eastAsia="zh-CN"/>
        </w:rPr>
      </w:pPr>
      <w:r>
        <w:rPr>
          <w:rFonts w:hint="eastAsia"/>
          <w:sz w:val="20"/>
          <w:szCs w:val="20"/>
          <w:highlight w:val="none"/>
          <w:lang w:val="en-US" w:eastAsia="zh-CN"/>
        </w:rPr>
        <w:t>Of course, there are some other aspects discussing in RAN1 which can also be considered for 6GR coverage enhancement.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kern w:val="0"/>
          <w:sz w:val="20"/>
          <w:highlight w:val="none"/>
          <w:lang w:val="en-US" w:eastAsia="zh-CN"/>
        </w:rPr>
      </w:pPr>
      <w:r>
        <w:rPr>
          <w:rFonts w:hint="eastAsia" w:cs="Times New Roman"/>
          <w:b/>
          <w:bCs/>
          <w:i w:val="0"/>
          <w:iCs w:val="0"/>
          <w:kern w:val="0"/>
          <w:sz w:val="20"/>
          <w:highlight w:val="none"/>
          <w:lang w:val="en-US" w:eastAsia="zh-CN"/>
        </w:rPr>
        <w:t>2.2</w:t>
      </w:r>
      <w:r>
        <w:rPr>
          <w:rFonts w:hint="eastAsia" w:cs="Times New Roman"/>
          <w:b/>
          <w:bCs/>
          <w:i w:val="0"/>
          <w:iCs w:val="0"/>
          <w:kern w:val="0"/>
          <w:sz w:val="20"/>
          <w:highlight w:val="none"/>
          <w:lang w:val="en-US" w:eastAsia="zh-CN"/>
        </w:rPr>
        <w:tab/>
      </w:r>
      <w:r>
        <w:rPr>
          <w:rFonts w:hint="eastAsia" w:cs="Times New Roman"/>
          <w:b/>
          <w:bCs/>
          <w:i w:val="0"/>
          <w:iCs w:val="0"/>
          <w:kern w:val="0"/>
          <w:sz w:val="20"/>
          <w:highlight w:val="none"/>
          <w:lang w:val="en-US" w:eastAsia="zh-CN"/>
        </w:rPr>
        <w:t>UE RF capabilities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sz w:val="20"/>
          <w:szCs w:val="20"/>
          <w:highlight w:val="none"/>
          <w:u w:val="none"/>
          <w:lang w:val="en-US" w:eastAsia="zh-CN"/>
        </w:rPr>
      </w:pPr>
      <w:r>
        <w:rPr>
          <w:rFonts w:hint="eastAsia"/>
          <w:b w:val="0"/>
          <w:bCs w:val="0"/>
          <w:sz w:val="20"/>
          <w:szCs w:val="20"/>
          <w:highlight w:val="none"/>
          <w:u w:val="none"/>
          <w:lang w:val="en-US" w:eastAsia="zh-CN"/>
        </w:rPr>
        <w:t>In this section, we provide some initial considerations on UE RF capabilities including considering device types and implementations such as PA capability, power class and coherent UL MIMO.</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none"/>
          <w:lang w:val="en-US" w:eastAsia="zh-CN"/>
        </w:rPr>
      </w:pPr>
      <w:r>
        <w:rPr>
          <w:rFonts w:hint="eastAsia"/>
          <w:b/>
          <w:bCs/>
          <w:sz w:val="20"/>
          <w:szCs w:val="20"/>
          <w:highlight w:val="none"/>
          <w:u w:val="none"/>
          <w:lang w:val="en-US" w:eastAsia="zh-CN"/>
        </w:rPr>
        <w:t>2.2.1 PA capability</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highlight w:val="none"/>
          <w:lang w:val="en-US" w:eastAsia="zh-CN"/>
        </w:rPr>
      </w:pPr>
      <w:r>
        <w:rPr>
          <w:rFonts w:hint="eastAsia"/>
          <w:sz w:val="20"/>
          <w:szCs w:val="20"/>
          <w:highlight w:val="none"/>
          <w:lang w:val="en-US" w:eastAsia="zh-CN"/>
        </w:rPr>
        <w:t>As we know, the PA maximum output is usually higher than the maximum output power at antenna connector defined by power class due to the RFFE insertion loss. For example, 27dBm@PA output power for 23dBm@antenna connector with 4dB RFFE loss. With the developing of state of the art, high PA maximum output (such as 31dBm) with reasonable size have already been available.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rFonts w:hint="eastAsia"/>
          <w:sz w:val="20"/>
          <w:szCs w:val="20"/>
          <w:highlight w:val="none"/>
          <w:lang w:val="en-US" w:eastAsia="zh-CN"/>
        </w:rPr>
        <w:t>Usually, companies use the power equals to power class to describe PA capability in the discussion for simplification. In the past discussion, several PA configuration were included, such as the PA configurations are 2*26dBm for PC1.5 TDD, 2*23dBm for 2Tx UL MIMO, or 2*23dBm+2*26dBm for HPUE 4Tx UL MIMO. In this case, the PA capability somehow decide how much power or what is the power class would be in RAN4 discussion for handheld UE and/or FWA form factor.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highlight w:val="none"/>
          <w:lang w:val="en-US" w:eastAsia="zh-CN"/>
        </w:rPr>
      </w:pPr>
      <w:r>
        <w:rPr>
          <w:rFonts w:hint="eastAsia"/>
          <w:sz w:val="20"/>
          <w:szCs w:val="20"/>
          <w:highlight w:val="none"/>
          <w:lang w:val="en-US" w:eastAsia="zh-CN"/>
        </w:rPr>
        <w:t xml:space="preserve">For 5G commercial mainstream handheld UE, due to the size limitation, usually only up to 2Tx/2PA for single band is supported to balance the performance and cost. Also for a UE, some bands can share a common Tx/PA which is illustrated in Fig. 2.2.1-1, where the frequency for these bands are close.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highlight w:val="none"/>
        </w:rPr>
        <w:drawing>
          <wp:inline distT="0" distB="0" distL="114300" distR="114300">
            <wp:extent cx="6132830" cy="2091055"/>
            <wp:effectExtent l="0" t="0" r="889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2830" cy="2091055"/>
                    </a:xfrm>
                    <a:prstGeom prst="rect">
                      <a:avLst/>
                    </a:prstGeom>
                    <a:noFill/>
                    <a:ln>
                      <a:noFill/>
                    </a:ln>
                  </pic:spPr>
                </pic:pic>
              </a:graphicData>
            </a:graphic>
          </wp:inline>
        </w:drawing>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sz w:val="20"/>
          <w:szCs w:val="20"/>
          <w:highlight w:val="none"/>
          <w:lang w:val="en-US" w:eastAsia="zh-CN"/>
        </w:rPr>
      </w:pPr>
      <w:r>
        <w:rPr>
          <w:rFonts w:hint="eastAsia"/>
          <w:sz w:val="20"/>
          <w:szCs w:val="20"/>
          <w:highlight w:val="none"/>
          <w:lang w:val="en-US" w:eastAsia="zh-CN"/>
        </w:rPr>
        <w:t>Fig 2.2.1-1. Bands share a common Tx/PA</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highlight w:val="none"/>
          <w:lang w:val="en-US" w:eastAsia="zh-CN"/>
        </w:rPr>
      </w:pPr>
      <w:r>
        <w:rPr>
          <w:rFonts w:hint="eastAsia"/>
          <w:sz w:val="20"/>
          <w:szCs w:val="20"/>
          <w:highlight w:val="none"/>
          <w:lang w:val="en-US" w:eastAsia="zh-CN"/>
        </w:rPr>
        <w:t>Therefore, in order to support high UL transmission power, enhance one PA capability in Tx chain is more important than increasing PA/Tx chains numbers for handheld UE. That is why all the current 4Tx HPUE topics are all for FWA form factor.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rFonts w:hint="eastAsia"/>
          <w:sz w:val="20"/>
          <w:szCs w:val="20"/>
          <w:highlight w:val="none"/>
          <w:lang w:val="en-US" w:eastAsia="zh-CN"/>
        </w:rPr>
        <w:t xml:space="preserve">For 6GR, we think RAN4 should study and support PC1.5 1Tx TDD/FDD band with 1*29dBm PA for handheld UE, this issue was proposed in RAN #109 meeting when companies discussed the objectives for Rel-20 but it is only for FWA form factor in the end, and this </w:t>
      </w:r>
      <w:r>
        <w:rPr>
          <w:rFonts w:ascii="Times New Roman" w:hAnsi="Times New Roman"/>
          <w:sz w:val="20"/>
          <w:szCs w:val="20"/>
          <w:highlight w:val="none"/>
        </w:rPr>
        <w:t>work is to start in 2026 Q4</w:t>
      </w:r>
      <w:r>
        <w:rPr>
          <w:rFonts w:hint="eastAsia"/>
          <w:sz w:val="20"/>
          <w:szCs w:val="20"/>
          <w:highlight w:val="none"/>
          <w:lang w:val="en-US" w:eastAsia="zh-CN"/>
        </w:rPr>
        <w:t>. Moreover, further study 2Tx TDD/FDD high band with 2*29dBm for handheld UE.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Proposal 2: To study 1*29dBm PA to support PC1.5 1Tx for handheld UE in 6GR.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none"/>
          <w:lang w:val="en-US" w:eastAsia="zh-CN"/>
        </w:rPr>
      </w:pPr>
      <w:r>
        <w:rPr>
          <w:rFonts w:hint="eastAsia"/>
          <w:b/>
          <w:bCs/>
          <w:sz w:val="20"/>
          <w:szCs w:val="20"/>
          <w:highlight w:val="none"/>
          <w:u w:val="none"/>
          <w:lang w:val="en-US" w:eastAsia="zh-CN"/>
        </w:rPr>
        <w:t>2.2.2 Power class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rFonts w:hint="eastAsia"/>
          <w:sz w:val="20"/>
          <w:szCs w:val="20"/>
          <w:highlight w:val="none"/>
          <w:lang w:val="en-US" w:eastAsia="zh-CN"/>
        </w:rPr>
        <w:t xml:space="preserve">In 5G NR, there are PC1, PC1.5, PC2, PC3 and PC5 are introduced. In the beginning of 5G NR study, RAN4 only focus on PC3 study and later, HPUE feature are introduced not only for single band (including UL MIMO), but also for band combination.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rFonts w:hint="eastAsia"/>
          <w:sz w:val="20"/>
          <w:szCs w:val="20"/>
          <w:highlight w:val="none"/>
          <w:lang w:val="en-US" w:eastAsia="zh-CN"/>
        </w:rPr>
        <w:t>The step size between two adjacent power class is 3dB, however, the maximum output power for PA capability may not always 3dB step since different implementation of RFFE. For example when the PA maximum output power is 27dBm, the RFFE insertion loss can be 2dB, then 25dBm maximum output power can be achieved. However, there is no power class equal to 25dBm.</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highlight w:val="none"/>
          <w:lang w:val="en-US" w:eastAsia="zh-CN"/>
        </w:rPr>
      </w:pPr>
      <w:r>
        <w:rPr>
          <w:rFonts w:hint="eastAsia"/>
          <w:sz w:val="20"/>
          <w:szCs w:val="20"/>
          <w:highlight w:val="none"/>
          <w:lang w:val="en-US" w:eastAsia="zh-CN"/>
        </w:rPr>
        <w:t>In addition to that, up to 4Tx UL MIMO is supported in 5G/5G-adv although it is for FWA form factor. The supported PA power configurations for each power class for TN FDD and TDD are summarized in table 1.</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sz w:val="20"/>
          <w:szCs w:val="20"/>
          <w:highlight w:val="none"/>
          <w:lang w:val="en-US" w:eastAsia="zh-CN"/>
        </w:rPr>
      </w:pPr>
      <w:r>
        <w:rPr>
          <w:rFonts w:hint="eastAsia"/>
          <w:sz w:val="20"/>
          <w:szCs w:val="20"/>
          <w:highlight w:val="none"/>
          <w:lang w:val="en-US" w:eastAsia="zh-CN"/>
        </w:rPr>
        <w:t>Table 2.2.2-1. PA power configurations for TN power class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1646"/>
        <w:gridCol w:w="1646"/>
        <w:gridCol w:w="1646"/>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PC3</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PC2</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PC1.5</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PC1 or PC1bis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vMerge w:val="restart"/>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TDD</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1T</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1T, 2T</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color w:val="FF0000"/>
                <w:sz w:val="20"/>
                <w:szCs w:val="20"/>
                <w:highlight w:val="none"/>
                <w:vertAlign w:val="baseline"/>
                <w:lang w:val="en-US" w:eastAsia="zh-CN"/>
              </w:rPr>
              <w:t>1T</w:t>
            </w:r>
            <w:r>
              <w:rPr>
                <w:rFonts w:hint="eastAsia"/>
                <w:sz w:val="20"/>
                <w:szCs w:val="20"/>
                <w:highlight w:val="none"/>
                <w:vertAlign w:val="baseline"/>
                <w:lang w:val="en-US" w:eastAsia="zh-CN"/>
              </w:rPr>
              <w:t xml:space="preserve">, 2T, </w:t>
            </w:r>
            <w:r>
              <w:rPr>
                <w:rFonts w:hint="eastAsia"/>
                <w:color w:val="FF0000"/>
                <w:sz w:val="20"/>
                <w:szCs w:val="20"/>
                <w:highlight w:val="none"/>
                <w:vertAlign w:val="baseline"/>
                <w:lang w:val="en-US" w:eastAsia="zh-CN"/>
              </w:rPr>
              <w:t>4T</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olor w:val="FF0000"/>
                <w:sz w:val="20"/>
                <w:szCs w:val="20"/>
                <w:highlight w:val="none"/>
                <w:vertAlign w:val="baseline"/>
                <w:lang w:val="en-US" w:eastAsia="zh-CN"/>
              </w:rPr>
            </w:pPr>
            <w:r>
              <w:rPr>
                <w:rFonts w:hint="eastAsia"/>
                <w:color w:val="FF0000"/>
                <w:sz w:val="20"/>
                <w:szCs w:val="20"/>
                <w:highlight w:val="none"/>
                <w:vertAlign w:val="baseline"/>
                <w:lang w:val="en-US" w:eastAsia="zh-CN"/>
              </w:rPr>
              <w:t>2T, 4T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vMerge w:val="continue"/>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1*23</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1*26, 2*23</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color w:val="FF0000"/>
                <w:sz w:val="20"/>
                <w:szCs w:val="20"/>
                <w:highlight w:val="none"/>
                <w:vertAlign w:val="baseline"/>
                <w:lang w:val="en-US" w:eastAsia="zh-CN"/>
              </w:rPr>
              <w:t>1*29</w:t>
            </w:r>
            <w:r>
              <w:rPr>
                <w:rFonts w:hint="eastAsia"/>
                <w:sz w:val="20"/>
                <w:szCs w:val="20"/>
                <w:highlight w:val="none"/>
                <w:vertAlign w:val="baseline"/>
                <w:lang w:val="en-US" w:eastAsia="zh-CN"/>
              </w:rPr>
              <w:t xml:space="preserve">, 2*26, </w:t>
            </w:r>
            <w:r>
              <w:rPr>
                <w:rFonts w:hint="eastAsia"/>
                <w:color w:val="FF0000"/>
                <w:sz w:val="20"/>
                <w:szCs w:val="20"/>
                <w:highlight w:val="none"/>
                <w:vertAlign w:val="baseline"/>
                <w:lang w:val="en-US" w:eastAsia="zh-CN"/>
              </w:rPr>
              <w:t>4*26</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olor w:val="FF0000"/>
                <w:sz w:val="20"/>
                <w:szCs w:val="20"/>
                <w:highlight w:val="none"/>
                <w:vertAlign w:val="baseline"/>
                <w:lang w:val="en-US" w:eastAsia="zh-CN"/>
              </w:rPr>
            </w:pPr>
            <w:r>
              <w:rPr>
                <w:rFonts w:hint="eastAsia"/>
                <w:color w:val="FF0000"/>
                <w:sz w:val="20"/>
                <w:szCs w:val="20"/>
                <w:highlight w:val="none"/>
                <w:vertAlign w:val="baseline"/>
                <w:lang w:val="en-US" w:eastAsia="zh-CN"/>
              </w:rPr>
              <w:t>2*29, 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vMerge w:val="restart"/>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FDD</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ind w:left="0" w:leftChars="0" w:firstLine="0" w:firstLineChars="0"/>
              <w:jc w:val="center"/>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1T</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ind w:left="0" w:leftChars="0" w:firstLine="0" w:firstLineChars="0"/>
              <w:jc w:val="center"/>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1T, 2T</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2T</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vMerge w:val="continue"/>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ind w:left="0" w:leftChars="0" w:firstLine="0" w:firstLineChars="0"/>
              <w:jc w:val="center"/>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1*23</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ind w:left="0" w:leftChars="0" w:firstLine="0" w:firstLineChars="0"/>
              <w:jc w:val="center"/>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1*26, 2*23</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2*26</w:t>
            </w:r>
          </w:p>
        </w:tc>
        <w:tc>
          <w:tcPr>
            <w:tcW w:w="1646" w:type="dxa"/>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0" w:type="dxa"/>
            <w:gridSpan w:val="5"/>
            <w:vAlign w:val="center"/>
          </w:tcPr>
          <w:p>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sz w:val="20"/>
                <w:szCs w:val="20"/>
                <w:highlight w:val="none"/>
                <w:vertAlign w:val="baseline"/>
                <w:lang w:val="en-US" w:eastAsia="zh-CN"/>
              </w:rPr>
            </w:pPr>
            <w:r>
              <w:rPr>
                <w:rFonts w:hint="eastAsia"/>
                <w:color w:val="FF0000"/>
                <w:sz w:val="20"/>
                <w:szCs w:val="20"/>
                <w:highlight w:val="none"/>
                <w:vertAlign w:val="baseline"/>
                <w:lang w:val="en-US" w:eastAsia="zh-CN"/>
              </w:rPr>
              <w:t>Note: FWA UE only</w:t>
            </w:r>
            <w:r>
              <w:rPr>
                <w:rFonts w:hint="eastAsia"/>
                <w:sz w:val="20"/>
                <w:szCs w:val="20"/>
                <w:highlight w:val="none"/>
                <w:vertAlign w:val="baseline"/>
                <w:lang w:val="en-US" w:eastAsia="zh-CN"/>
              </w:rPr>
              <w:t xml:space="preserve"> </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rFonts w:hint="eastAsia"/>
          <w:sz w:val="20"/>
          <w:szCs w:val="20"/>
          <w:highlight w:val="none"/>
          <w:lang w:val="en-US" w:eastAsia="zh-CN"/>
        </w:rPr>
        <w:t>Usually the UE maximum output power would be restricted by its power class. In other words, the PA full power capability would be constrained artificially. For example, the PA capability in PC3 2Tx UL MIMO would be constrained, and another example is 2*29dBm PA can ideally achieve 32dBm maximum output. However, there is no 5G NR power class equal to 32dBm. Moreover, in the future there may 8Tx UL MIMO supported for FWA form factor, and if 26dBm PA is used in each Tx RF chain, then the maximum output power would ideally achieve up to 35dBm. However, there is no 5G NR power class equal to 35dBm.</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sz w:val="20"/>
          <w:szCs w:val="20"/>
          <w:highlight w:val="none"/>
          <w:lang w:val="en-US" w:eastAsia="zh-CN"/>
        </w:rPr>
      </w:pPr>
      <w:r>
        <w:rPr>
          <w:rFonts w:hint="eastAsia"/>
          <w:sz w:val="20"/>
          <w:szCs w:val="20"/>
          <w:highlight w:val="none"/>
          <w:lang w:val="en-US" w:eastAsia="zh-CN"/>
        </w:rPr>
        <w:t>In 5GR, the RF requirements were defined only for symmetric UL MIMO/TxD were considered in the specification. In the symmetric UL MIMO/TxD, the power at each conn</w:t>
      </w:r>
      <w:bookmarkStart w:id="15" w:name="_GoBack"/>
      <w:r>
        <w:rPr>
          <w:rFonts w:hint="eastAsia"/>
          <w:sz w:val="20"/>
          <w:szCs w:val="20"/>
          <w:highlight w:val="none"/>
          <w:lang w:val="en-US" w:eastAsia="zh-CN"/>
        </w:rPr>
        <w:t xml:space="preserve">ector is the same. However, during the discussion, asymmetric UL MIMO/TxD were also mentioned such as in Rel-18 </w:t>
      </w:r>
      <w:r>
        <w:rPr>
          <w:rFonts w:hint="eastAsia" w:cs="Times New Roman"/>
          <w:sz w:val="20"/>
          <w:szCs w:val="20"/>
          <w:highlight w:val="none"/>
        </w:rPr>
        <w:t>NR_ENDC_ RF_FR1_enh2</w:t>
      </w:r>
      <w:r>
        <w:rPr>
          <w:rFonts w:hint="eastAsia" w:cs="Times New Roman"/>
          <w:sz w:val="20"/>
          <w:szCs w:val="20"/>
          <w:highlight w:val="none"/>
          <w:lang w:val="en-US" w:eastAsia="zh-CN"/>
        </w:rPr>
        <w:t xml:space="preserve"> WID</w:t>
      </w:r>
      <w:r>
        <w:rPr>
          <w:rFonts w:hint="eastAsia" w:cs="Times New Roman"/>
          <w:i w:val="0"/>
          <w:iCs w:val="0"/>
          <w:sz w:val="20"/>
          <w:szCs w:val="20"/>
          <w:highlight w:val="none"/>
          <w:lang w:val="en-US" w:eastAsia="zh-CN"/>
        </w:rPr>
        <w:t xml:space="preserve">, </w:t>
      </w:r>
      <w:r>
        <w:rPr>
          <w:sz w:val="20"/>
          <w:szCs w:val="20"/>
        </w:rPr>
        <w:t>4x23</w:t>
      </w:r>
      <w:r>
        <w:rPr>
          <w:rFonts w:hint="eastAsia"/>
          <w:sz w:val="20"/>
          <w:szCs w:val="20"/>
          <w:lang w:val="en-US" w:eastAsia="zh-CN"/>
        </w:rPr>
        <w:t>dBm</w:t>
      </w:r>
      <w:r>
        <w:rPr>
          <w:sz w:val="20"/>
          <w:szCs w:val="20"/>
        </w:rPr>
        <w:t>, 4x26</w:t>
      </w:r>
      <w:r>
        <w:rPr>
          <w:rFonts w:hint="eastAsia"/>
          <w:sz w:val="20"/>
          <w:szCs w:val="20"/>
          <w:lang w:val="en-US" w:eastAsia="zh-CN"/>
        </w:rPr>
        <w:t>dBm</w:t>
      </w:r>
      <w:r>
        <w:rPr>
          <w:sz w:val="20"/>
          <w:szCs w:val="20"/>
        </w:rPr>
        <w:t xml:space="preserve"> and 2x23</w:t>
      </w:r>
      <w:r>
        <w:rPr>
          <w:rFonts w:hint="eastAsia"/>
          <w:sz w:val="20"/>
          <w:szCs w:val="20"/>
          <w:lang w:val="en-US" w:eastAsia="zh-CN"/>
        </w:rPr>
        <w:t>dBm</w:t>
      </w:r>
      <w:r>
        <w:rPr>
          <w:sz w:val="20"/>
          <w:szCs w:val="20"/>
        </w:rPr>
        <w:t xml:space="preserve"> + 2x26</w:t>
      </w:r>
      <w:r>
        <w:rPr>
          <w:rFonts w:hint="eastAsia"/>
          <w:sz w:val="20"/>
          <w:szCs w:val="20"/>
          <w:lang w:val="en-US" w:eastAsia="zh-CN"/>
        </w:rPr>
        <w:t>dBm</w:t>
      </w:r>
      <w:r>
        <w:rPr>
          <w:rFonts w:hint="eastAsia"/>
          <w:i w:val="0"/>
          <w:iCs w:val="0"/>
          <w:sz w:val="20"/>
          <w:szCs w:val="20"/>
          <w:lang w:val="en-US" w:eastAsia="zh-CN"/>
        </w:rPr>
        <w:t xml:space="preserve"> were also considered for 4Tx PC1.5</w:t>
      </w:r>
      <w:r>
        <w:rPr>
          <w:rFonts w:hint="eastAsia"/>
          <w:i w:val="0"/>
          <w:iCs w:val="0"/>
          <w:sz w:val="20"/>
          <w:szCs w:val="20"/>
          <w:highlight w:val="none"/>
          <w:lang w:val="en-US" w:eastAsia="zh-CN"/>
        </w:rPr>
        <w:t>. If considering a</w:t>
      </w:r>
      <w:r>
        <w:rPr>
          <w:rFonts w:hint="eastAsia"/>
          <w:sz w:val="20"/>
          <w:szCs w:val="20"/>
          <w:highlight w:val="none"/>
          <w:lang w:val="en-US" w:eastAsia="zh-CN"/>
        </w:rPr>
        <w:t>symmetric UL MIMO/TxD, we think it would more complicated by using the existing 5G NR power class framework.</w:t>
      </w:r>
      <w:bookmarkEnd w:id="15"/>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highlight w:val="none"/>
          <w:lang w:val="en-US" w:eastAsia="zh-CN"/>
        </w:rPr>
      </w:pPr>
      <w:r>
        <w:rPr>
          <w:rFonts w:hint="eastAsia"/>
          <w:sz w:val="20"/>
          <w:szCs w:val="20"/>
          <w:highlight w:val="none"/>
          <w:lang w:val="en-US" w:eastAsia="zh-CN"/>
        </w:rPr>
        <w:t xml:space="preserve">For 6GR, to solve the above issues, we think the single band power class framework should reflect the actually PA capability, especially for UL MIMO. One straightforward way is to introduce more power classes but it would cause many fragment power classes introduced which would make complexity for the requirements definition. Some other way may need to be discussed such as to use the power per antenna connector or per PA for the real transmission output power, and if UE supports UL MIMO, then the real transmission output power would be sum of the real power per antenna connector.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Observation 2. For single band, the current power class definition in 5G may constrain the UE maximum output power, especially for UL MIMO.</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Observation 3. Introduce too many power classes would cause power class fragment and complexity for the requirements definition.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Proposal 3. For 6GR, to discuss the power class framework to reflect the PA capability for single band, especially for UL MIMO.</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lang w:val="en-US" w:eastAsia="zh-CN"/>
        </w:rPr>
      </w:pPr>
      <w:r>
        <w:rPr>
          <w:rFonts w:hint="eastAsia"/>
          <w:sz w:val="20"/>
          <w:szCs w:val="20"/>
          <w:highlight w:val="none"/>
          <w:lang w:val="en-US" w:eastAsia="zh-CN"/>
        </w:rPr>
        <w:t>In addition, as we mentioned in section 2.1.2, UL coverage is a important thing for 6GR consideration, especially for around 7GHz. In current 5GR, the power class 3 (i.e. 23dBm) is a default power class no matter for low band or high band. However, we think the HPUE single band implementation is quite mature in 5G NR commercial UE even for PC2 FDD band RedCap UE, 1*26dBm PA have already been considered only when RAN4 define the related RF requirements. Therefore, we think at least for high TDD band such as around 7GHz in 6GR, high power class like PC2 can be used as a default power class.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4. To consider high power class like PC2 as a default power class for high TDD band such as around 7GHz in 6GR.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i w:val="0"/>
          <w:iCs w:val="0"/>
          <w:sz w:val="20"/>
          <w:szCs w:val="20"/>
          <w:highlight w:val="none"/>
          <w:lang w:val="en-US" w:eastAsia="zh-CN"/>
        </w:rPr>
      </w:pPr>
      <w:r>
        <w:rPr>
          <w:rFonts w:hint="eastAsia"/>
          <w:sz w:val="20"/>
          <w:szCs w:val="20"/>
          <w:highlight w:val="none"/>
          <w:lang w:val="en-US" w:eastAsia="zh-CN"/>
        </w:rPr>
        <w:t xml:space="preserve">For HPUE inter-band band combination in 5G NR, high power limits capability (i.e. </w:t>
      </w:r>
      <w:r>
        <w:rPr>
          <w:bCs/>
          <w:i/>
          <w:sz w:val="20"/>
          <w:szCs w:val="20"/>
          <w:highlight w:val="none"/>
        </w:rPr>
        <w:t>higherPowerLimit-r17</w:t>
      </w:r>
      <w:r>
        <w:rPr>
          <w:rFonts w:hint="eastAsia"/>
          <w:sz w:val="20"/>
          <w:szCs w:val="20"/>
          <w:highlight w:val="none"/>
          <w:lang w:val="en-US" w:eastAsia="zh-CN"/>
        </w:rPr>
        <w:t xml:space="preserve">) was introduced to enable UE can transmit higher power considering the PA full power capability. For example, PC2 inter-band CA with 23+26dBm PA configuration can transmit 27.8dB (i.e. 23+26dBm) maximum output power with the IE </w:t>
      </w:r>
      <w:r>
        <w:rPr>
          <w:bCs/>
          <w:i/>
          <w:sz w:val="20"/>
          <w:szCs w:val="20"/>
          <w:highlight w:val="none"/>
        </w:rPr>
        <w:t>higherPowerLimit-r17</w:t>
      </w:r>
      <w:r>
        <w:rPr>
          <w:rFonts w:hint="eastAsia"/>
          <w:bCs/>
          <w:i/>
          <w:sz w:val="20"/>
          <w:szCs w:val="20"/>
          <w:highlight w:val="none"/>
          <w:lang w:val="en-US" w:eastAsia="zh-CN"/>
        </w:rPr>
        <w:t xml:space="preserve">. </w:t>
      </w:r>
      <w:r>
        <w:rPr>
          <w:rFonts w:hint="eastAsia"/>
          <w:bCs/>
          <w:i w:val="0"/>
          <w:iCs/>
          <w:sz w:val="20"/>
          <w:szCs w:val="20"/>
          <w:highlight w:val="none"/>
          <w:lang w:val="en-US" w:eastAsia="zh-CN"/>
        </w:rPr>
        <w:t xml:space="preserve">Noted that the </w:t>
      </w:r>
      <w:r>
        <w:rPr>
          <w:rFonts w:hint="eastAsia"/>
          <w:sz w:val="20"/>
          <w:szCs w:val="20"/>
          <w:highlight w:val="none"/>
          <w:lang w:val="en-US" w:eastAsia="zh-CN"/>
        </w:rPr>
        <w:t>high power limits capability is only applied to inter-band band combination, it is not applied to pure intra-band contiguous/non-contiguous CA.</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Observation 4. In NR, the IE</w:t>
      </w:r>
      <w:r>
        <w:rPr>
          <w:rFonts w:hint="eastAsia"/>
          <w:b/>
          <w:bCs/>
          <w:i/>
          <w:iCs/>
          <w:sz w:val="20"/>
          <w:szCs w:val="20"/>
          <w:highlight w:val="none"/>
          <w:lang w:val="en-US" w:eastAsia="zh-CN"/>
        </w:rPr>
        <w:t xml:space="preserve"> higherPowerLimit-r17</w:t>
      </w:r>
      <w:r>
        <w:rPr>
          <w:rFonts w:hint="eastAsia"/>
          <w:b/>
          <w:bCs/>
          <w:i w:val="0"/>
          <w:iCs w:val="0"/>
          <w:sz w:val="20"/>
          <w:szCs w:val="20"/>
          <w:highlight w:val="none"/>
          <w:lang w:val="en-US" w:eastAsia="zh-CN"/>
        </w:rPr>
        <w:t xml:space="preserve"> can enable higher maximum output power for inter-band combination, but it is not applied to pure intra-band contiguous/non-contiguous CA.</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Cs/>
          <w:i w:val="0"/>
          <w:iCs/>
          <w:sz w:val="20"/>
          <w:szCs w:val="20"/>
          <w:highlight w:val="none"/>
          <w:lang w:val="en-US" w:eastAsia="zh-CN"/>
        </w:rPr>
      </w:pPr>
      <w:r>
        <w:rPr>
          <w:rFonts w:hint="eastAsia"/>
          <w:bCs/>
          <w:i w:val="0"/>
          <w:iCs/>
          <w:sz w:val="20"/>
          <w:szCs w:val="20"/>
          <w:highlight w:val="none"/>
          <w:lang w:val="en-US" w:eastAsia="zh-CN"/>
        </w:rPr>
        <w:t>For 6GR, we think the PA capability for each CC should be reflected well, instead of using an optional IE in 5G NR to enable higher maximum output power for inter-band combination. In the other word, we think it is reasonable that sum of the power of each band is mandatory to be supported.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i w:val="0"/>
          <w:iCs/>
          <w:sz w:val="20"/>
          <w:szCs w:val="20"/>
          <w:highlight w:val="none"/>
          <w:lang w:val="en-US" w:eastAsia="zh-CN"/>
        </w:rPr>
      </w:pPr>
      <w:r>
        <w:rPr>
          <w:rFonts w:hint="eastAsia"/>
          <w:bCs/>
          <w:i w:val="0"/>
          <w:iCs/>
          <w:sz w:val="20"/>
          <w:szCs w:val="20"/>
          <w:highlight w:val="none"/>
          <w:lang w:val="en-US" w:eastAsia="zh-CN"/>
        </w:rPr>
        <w:t>Another issue for inter-band CA band combination in 5G is the UL maximum output power is restricted by the band combination power class when all CCs in one UL band are deactivated, UL configuration become single UL band transmission. In 5G NR, there are two following cases: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b w:val="0"/>
          <w:bCs w:val="0"/>
          <w:color w:val="auto"/>
          <w:sz w:val="20"/>
          <w:highlight w:val="none"/>
        </w:rPr>
      </w:pPr>
      <w:r>
        <w:rPr>
          <w:rFonts w:hint="eastAsia"/>
          <w:b w:val="0"/>
          <w:bCs w:val="0"/>
          <w:color w:val="auto"/>
          <w:sz w:val="20"/>
          <w:highlight w:val="none"/>
          <w:lang w:val="en-US" w:eastAsia="zh-CN"/>
        </w:rPr>
        <w:t xml:space="preserve">1. </w:t>
      </w:r>
      <w:r>
        <w:rPr>
          <w:b w:val="0"/>
          <w:bCs w:val="0"/>
          <w:color w:val="auto"/>
          <w:sz w:val="20"/>
          <w:highlight w:val="none"/>
        </w:rPr>
        <w:t>DL CA with single carrier UL configured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color w:val="auto"/>
          <w:sz w:val="20"/>
          <w:highlight w:val="none"/>
          <w:lang w:val="en-US" w:eastAsia="zh-CN"/>
        </w:rPr>
      </w:pPr>
      <w:r>
        <w:rPr>
          <w:rFonts w:hint="eastAsia"/>
          <w:b w:val="0"/>
          <w:bCs w:val="0"/>
          <w:color w:val="auto"/>
          <w:sz w:val="20"/>
          <w:highlight w:val="none"/>
          <w:lang w:val="en-US" w:eastAsia="zh-CN"/>
        </w:rPr>
        <w:t>2. A</w:t>
      </w:r>
      <w:r>
        <w:rPr>
          <w:b w:val="0"/>
          <w:bCs w:val="0"/>
          <w:color w:val="auto"/>
          <w:sz w:val="20"/>
          <w:highlight w:val="none"/>
        </w:rPr>
        <w:t>ny ULCA with only one CC activated or scheduled but others deactivated or not scheduled,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Cs/>
          <w:i w:val="0"/>
          <w:iCs/>
          <w:sz w:val="20"/>
          <w:szCs w:val="20"/>
          <w:highlight w:val="none"/>
          <w:lang w:val="en-US" w:eastAsia="zh-CN"/>
        </w:rPr>
      </w:pPr>
      <w:r>
        <w:rPr>
          <w:rFonts w:hint="eastAsia"/>
          <w:bCs/>
          <w:i w:val="0"/>
          <w:iCs/>
          <w:sz w:val="20"/>
          <w:szCs w:val="20"/>
          <w:highlight w:val="none"/>
          <w:lang w:val="en-US" w:eastAsia="zh-CN"/>
        </w:rPr>
        <w:t>For the case 1, it was solved in 5G NR where HPUE applicability notes do not restrict power class indication for single configured UL CC with DL CA. However, for case 2, the transmission power for the single UL band transmission would still be limited by the band combination power class although it can transmit higher power. This issue was discussed for ~2years in Rel-18/19 but the consensus is only to include the single configured UL CC with DL CA as exception in the specification.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Observation 5. For UL CA configuration in NR, the transmission power is restricted by the band combination power class.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b/>
          <w:bCs/>
          <w:i w:val="0"/>
          <w:iCs w:val="0"/>
          <w:sz w:val="20"/>
          <w:szCs w:val="20"/>
          <w:highlight w:val="none"/>
          <w:lang w:val="en-US" w:eastAsia="zh-CN"/>
        </w:rPr>
      </w:pPr>
      <w:r>
        <w:rPr>
          <w:rFonts w:hint="eastAsia"/>
          <w:bCs/>
          <w:i w:val="0"/>
          <w:iCs/>
          <w:sz w:val="20"/>
          <w:szCs w:val="20"/>
          <w:highlight w:val="none"/>
          <w:lang w:val="en-US" w:eastAsia="zh-CN"/>
        </w:rPr>
        <w:t xml:space="preserve">In 6GR power class framework, we think this 5G left-over issue should continue discussing in 6GR study phase. We think the restriction of the band combination power class should be released. </w:t>
      </w:r>
      <w:r>
        <w:rPr>
          <w:rFonts w:hint="eastAsia"/>
          <w:b w:val="0"/>
          <w:bCs w:val="0"/>
          <w:i w:val="0"/>
          <w:iCs w:val="0"/>
          <w:sz w:val="20"/>
          <w:szCs w:val="20"/>
          <w:highlight w:val="none"/>
          <w:lang w:val="en-US" w:eastAsia="zh-CN"/>
        </w:rPr>
        <w:t xml:space="preserve">To achieve the above goals in 6GR, to achieve these goals, one </w:t>
      </w:r>
      <w:r>
        <w:rPr>
          <w:rFonts w:hint="eastAsia"/>
          <w:bCs/>
          <w:i w:val="0"/>
          <w:iCs/>
          <w:sz w:val="20"/>
          <w:szCs w:val="20"/>
          <w:highlight w:val="none"/>
          <w:lang w:val="en-US" w:eastAsia="zh-CN"/>
        </w:rPr>
        <w:t xml:space="preserve">of an enhanced method is to remove the band combination power class. In this way, the transmission output power for UL CC is sum of the power class of each band or CC, and when </w:t>
      </w:r>
      <w:r>
        <w:rPr>
          <w:b w:val="0"/>
          <w:bCs w:val="0"/>
          <w:color w:val="auto"/>
          <w:sz w:val="20"/>
          <w:highlight w:val="none"/>
        </w:rPr>
        <w:t>ULCA with only one CC activated or scheduled but others deactivated or not scheduled</w:t>
      </w:r>
      <w:r>
        <w:rPr>
          <w:rFonts w:hint="eastAsia"/>
          <w:b w:val="0"/>
          <w:bCs w:val="0"/>
          <w:color w:val="auto"/>
          <w:sz w:val="20"/>
          <w:highlight w:val="none"/>
          <w:lang w:val="en-US" w:eastAsia="zh-CN"/>
        </w:rPr>
        <w:t xml:space="preserve">, the UL </w:t>
      </w:r>
      <w:r>
        <w:rPr>
          <w:rFonts w:hint="eastAsia"/>
          <w:bCs/>
          <w:i w:val="0"/>
          <w:iCs/>
          <w:sz w:val="20"/>
          <w:szCs w:val="20"/>
          <w:highlight w:val="none"/>
          <w:lang w:val="en-US" w:eastAsia="zh-CN"/>
        </w:rPr>
        <w:t>transmission output power is decided by the power of the current transmitting CC.</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Proposal 5: For CA power class framework in 6GR, the restriction of the band combination power class should be released in the power class framework discussion.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 xml:space="preserve">Proposal 6: </w:t>
      </w:r>
      <w:r>
        <w:rPr>
          <w:rFonts w:hint="eastAsia"/>
          <w:b/>
          <w:bCs/>
          <w:sz w:val="20"/>
          <w:szCs w:val="20"/>
          <w:highlight w:val="none"/>
          <w:lang w:val="en-US" w:eastAsia="zh-CN"/>
        </w:rPr>
        <w:t>To discuss the necessity of band combination power class in 6GR.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none"/>
          <w:lang w:val="en-US" w:eastAsia="zh-CN"/>
        </w:rPr>
      </w:pPr>
      <w:r>
        <w:rPr>
          <w:rFonts w:hint="eastAsia"/>
          <w:b/>
          <w:bCs/>
          <w:sz w:val="20"/>
          <w:szCs w:val="20"/>
          <w:highlight w:val="none"/>
          <w:u w:val="none"/>
          <w:lang w:val="en-US" w:eastAsia="zh-CN"/>
        </w:rPr>
        <w:t>2.2.3 Coherent UL MIMO</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i w:val="0"/>
          <w:iCs/>
          <w:sz w:val="20"/>
          <w:szCs w:val="20"/>
          <w:highlight w:val="none"/>
          <w:lang w:val="en-US" w:eastAsia="zh-CN"/>
        </w:rPr>
      </w:pPr>
      <w:r>
        <w:rPr>
          <w:rFonts w:hint="default"/>
          <w:bCs/>
          <w:i w:val="0"/>
          <w:iCs/>
          <w:sz w:val="20"/>
          <w:szCs w:val="20"/>
          <w:highlight w:val="none"/>
          <w:lang w:val="en-US" w:eastAsia="zh-CN"/>
        </w:rPr>
        <w:t>Coherent transmission allows the system to create a virtual, focused beam of energy pointed toward the base station</w:t>
      </w:r>
      <w:r>
        <w:rPr>
          <w:rFonts w:hint="eastAsia"/>
          <w:bCs/>
          <w:i w:val="0"/>
          <w:iCs/>
          <w:sz w:val="20"/>
          <w:szCs w:val="20"/>
          <w:highlight w:val="none"/>
          <w:lang w:val="en-US" w:eastAsia="zh-CN"/>
        </w:rPr>
        <w:t>. Consequently, the base station effectively sees a single, much stronger signal. A stronger signal can travel farther and better penetrate obstacles like walls, directly extending the range and coverage area of the device.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i w:val="0"/>
          <w:iCs/>
          <w:sz w:val="20"/>
          <w:szCs w:val="20"/>
          <w:highlight w:val="none"/>
          <w:lang w:val="en-US" w:eastAsia="zh-CN"/>
        </w:rPr>
      </w:pPr>
      <w:r>
        <w:rPr>
          <w:rFonts w:hint="eastAsia"/>
          <w:bCs/>
          <w:i w:val="0"/>
          <w:iCs/>
          <w:sz w:val="20"/>
          <w:szCs w:val="20"/>
          <w:highlight w:val="none"/>
          <w:lang w:val="en-US" w:eastAsia="zh-CN"/>
        </w:rPr>
        <w:t>In 5G NR, the coherent UL MIMO requirements were introduced from Rel-15 for both FR1 and FR2 as follow, and meanwhile there are some conditions defined which shall be met within the specified time window.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0" w:hRule="atLeast"/>
        </w:trPr>
        <w:tc>
          <w:tcPr>
            <w:tcW w:w="9876" w:type="dxa"/>
          </w:tcPr>
          <w:p>
            <w:pPr>
              <w:pStyle w:val="55"/>
              <w:keepNext w:val="0"/>
              <w:keepLines w:val="0"/>
              <w:pageBreakBefore w:val="0"/>
              <w:widowControl w:val="0"/>
              <w:kinsoku/>
              <w:wordWrap/>
              <w:overflowPunct w:val="0"/>
              <w:topLinePunct w:val="0"/>
              <w:autoSpaceDE w:val="0"/>
              <w:autoSpaceDN w:val="0"/>
              <w:bidi w:val="0"/>
              <w:adjustRightInd w:val="0"/>
              <w:spacing w:after="180"/>
              <w:jc w:val="both"/>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rPr>
              <w:t>Table 6.4D.4-1: Maximum allowable difference of relative phase and power errors in a given slot compared to those measured at last SRS transmitted</w:t>
            </w:r>
            <w:r>
              <w:rPr>
                <w:rFonts w:hint="default" w:ascii="Times New Roman" w:hAnsi="Times New Roman" w:cs="Times New Roman"/>
                <w:sz w:val="20"/>
                <w:szCs w:val="20"/>
                <w:highlight w:val="none"/>
                <w:lang w:val="en-US" w:eastAsia="zh-CN"/>
              </w:rPr>
              <w:t xml:space="preserve"> (from TS38.101-1)</w:t>
            </w:r>
          </w:p>
          <w:tbl>
            <w:tblPr>
              <w:tblStyle w:val="22"/>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60"/>
              <w:gridCol w:w="304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60" w:type="dxa"/>
                </w:tcPr>
                <w:p>
                  <w:pPr>
                    <w:pStyle w:val="64"/>
                    <w:keepNext w:val="0"/>
                    <w:keepLines w:val="0"/>
                    <w:pageBreakBefore w:val="0"/>
                    <w:widowControl w:val="0"/>
                    <w:kinsoku/>
                    <w:wordWrap/>
                    <w:topLinePunct w:val="0"/>
                    <w:bidi w:val="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Difference of relative phase error</w:t>
                  </w:r>
                </w:p>
              </w:tc>
              <w:tc>
                <w:tcPr>
                  <w:tcW w:w="3048" w:type="dxa"/>
                </w:tcPr>
                <w:p>
                  <w:pPr>
                    <w:pStyle w:val="64"/>
                    <w:keepNext w:val="0"/>
                    <w:keepLines w:val="0"/>
                    <w:pageBreakBefore w:val="0"/>
                    <w:widowControl w:val="0"/>
                    <w:kinsoku/>
                    <w:wordWrap/>
                    <w:topLinePunct w:val="0"/>
                    <w:bidi w:val="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Difference of relative power error</w:t>
                  </w:r>
                </w:p>
              </w:tc>
              <w:tc>
                <w:tcPr>
                  <w:tcW w:w="2694" w:type="dxa"/>
                </w:tcPr>
                <w:p>
                  <w:pPr>
                    <w:pStyle w:val="64"/>
                    <w:keepNext w:val="0"/>
                    <w:keepLines w:val="0"/>
                    <w:pageBreakBefore w:val="0"/>
                    <w:widowControl w:val="0"/>
                    <w:kinsoku/>
                    <w:wordWrap/>
                    <w:topLinePunct w:val="0"/>
                    <w:bidi w:val="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Time 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60" w:type="dxa"/>
                  <w:vAlign w:val="center"/>
                </w:tcPr>
                <w:p>
                  <w:pPr>
                    <w:pStyle w:val="56"/>
                    <w:keepNext w:val="0"/>
                    <w:keepLines w:val="0"/>
                    <w:pageBreakBefore w:val="0"/>
                    <w:widowControl w:val="0"/>
                    <w:kinsoku/>
                    <w:wordWrap/>
                    <w:topLinePunct w:val="0"/>
                    <w:bidi w:val="0"/>
                    <w:jc w:val="both"/>
                    <w:rPr>
                      <w:rFonts w:hint="default" w:ascii="Times New Roman" w:hAnsi="Times New Roman" w:cs="Times New Roman"/>
                      <w:b/>
                      <w:sz w:val="20"/>
                      <w:szCs w:val="20"/>
                      <w:highlight w:val="none"/>
                    </w:rPr>
                  </w:pPr>
                  <w:r>
                    <w:rPr>
                      <w:rFonts w:hint="default" w:ascii="Times New Roman" w:hAnsi="Times New Roman" w:cs="Times New Roman"/>
                      <w:sz w:val="20"/>
                      <w:szCs w:val="20"/>
                      <w:highlight w:val="none"/>
                    </w:rPr>
                    <w:t>40 degrees</w:t>
                  </w:r>
                </w:p>
              </w:tc>
              <w:tc>
                <w:tcPr>
                  <w:tcW w:w="3048" w:type="dxa"/>
                  <w:vAlign w:val="center"/>
                </w:tcPr>
                <w:p>
                  <w:pPr>
                    <w:pStyle w:val="56"/>
                    <w:keepNext w:val="0"/>
                    <w:keepLines w:val="0"/>
                    <w:pageBreakBefore w:val="0"/>
                    <w:widowControl w:val="0"/>
                    <w:kinsoku/>
                    <w:wordWrap/>
                    <w:topLinePunct w:val="0"/>
                    <w:bidi w:val="0"/>
                    <w:jc w:val="both"/>
                    <w:rPr>
                      <w:rFonts w:hint="default" w:ascii="Times New Roman" w:hAnsi="Times New Roman" w:cs="Times New Roman"/>
                      <w:b/>
                      <w:sz w:val="20"/>
                      <w:szCs w:val="20"/>
                      <w:highlight w:val="none"/>
                    </w:rPr>
                  </w:pPr>
                  <w:r>
                    <w:rPr>
                      <w:rFonts w:hint="default" w:ascii="Times New Roman" w:hAnsi="Times New Roman" w:cs="Times New Roman"/>
                      <w:sz w:val="20"/>
                      <w:szCs w:val="20"/>
                      <w:highlight w:val="none"/>
                    </w:rPr>
                    <w:t>4 dB</w:t>
                  </w:r>
                </w:p>
              </w:tc>
              <w:tc>
                <w:tcPr>
                  <w:tcW w:w="2694" w:type="dxa"/>
                  <w:vAlign w:val="center"/>
                </w:tcPr>
                <w:p>
                  <w:pPr>
                    <w:pStyle w:val="56"/>
                    <w:keepNext w:val="0"/>
                    <w:keepLines w:val="0"/>
                    <w:pageBreakBefore w:val="0"/>
                    <w:widowControl w:val="0"/>
                    <w:kinsoku/>
                    <w:wordWrap/>
                    <w:topLinePunct w:val="0"/>
                    <w:bidi w:val="0"/>
                    <w:jc w:val="both"/>
                    <w:rPr>
                      <w:rFonts w:hint="default" w:ascii="Times New Roman" w:hAnsi="Times New Roman" w:cs="Times New Roman"/>
                      <w:b/>
                      <w:sz w:val="20"/>
                      <w:szCs w:val="20"/>
                      <w:highlight w:val="none"/>
                    </w:rPr>
                  </w:pPr>
                  <w:r>
                    <w:rPr>
                      <w:rFonts w:hint="default" w:ascii="Times New Roman" w:hAnsi="Times New Roman" w:cs="Times New Roman"/>
                      <w:sz w:val="20"/>
                      <w:szCs w:val="20"/>
                      <w:highlight w:val="none"/>
                    </w:rPr>
                    <w:t>20 msec</w:t>
                  </w:r>
                </w:p>
              </w:tc>
            </w:tr>
          </w:tbl>
          <w:p>
            <w:pPr>
              <w:pStyle w:val="46"/>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highlight w:val="none"/>
              </w:rPr>
            </w:pPr>
            <w:r>
              <w:rPr>
                <w:sz w:val="20"/>
                <w:highlight w:val="none"/>
              </w:rPr>
              <w:t>-</w:t>
            </w:r>
            <w:r>
              <w:rPr>
                <w:sz w:val="20"/>
                <w:highlight w:val="none"/>
              </w:rPr>
              <w:tab/>
            </w:r>
            <w:r>
              <w:rPr>
                <w:sz w:val="20"/>
                <w:highlight w:val="none"/>
              </w:rPr>
              <w:t xml:space="preserve">UE is not signaled with a change in number of SRS ports in </w:t>
            </w:r>
            <w:r>
              <w:rPr>
                <w:i/>
                <w:sz w:val="20"/>
                <w:highlight w:val="none"/>
              </w:rPr>
              <w:t>SRS-config</w:t>
            </w:r>
            <w:r>
              <w:rPr>
                <w:sz w:val="20"/>
                <w:highlight w:val="none"/>
              </w:rPr>
              <w:t xml:space="preserve">, or a change in </w:t>
            </w:r>
            <w:r>
              <w:rPr>
                <w:i/>
                <w:sz w:val="20"/>
                <w:highlight w:val="none"/>
              </w:rPr>
              <w:t>PUSCH-config</w:t>
            </w:r>
          </w:p>
          <w:p>
            <w:pPr>
              <w:pStyle w:val="46"/>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highlight w:val="none"/>
              </w:rPr>
            </w:pPr>
            <w:r>
              <w:rPr>
                <w:sz w:val="20"/>
                <w:highlight w:val="none"/>
              </w:rPr>
              <w:t>-</w:t>
            </w:r>
            <w:r>
              <w:rPr>
                <w:sz w:val="20"/>
                <w:highlight w:val="none"/>
              </w:rPr>
              <w:tab/>
            </w:r>
            <w:r>
              <w:rPr>
                <w:sz w:val="20"/>
                <w:highlight w:val="none"/>
              </w:rPr>
              <w:t>UE remains in DRX active time (UE does not enter DRX OFF time)</w:t>
            </w:r>
          </w:p>
          <w:p>
            <w:pPr>
              <w:pStyle w:val="46"/>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highlight w:val="none"/>
              </w:rPr>
            </w:pPr>
            <w:r>
              <w:rPr>
                <w:sz w:val="20"/>
                <w:highlight w:val="none"/>
              </w:rPr>
              <w:t>-</w:t>
            </w:r>
            <w:r>
              <w:rPr>
                <w:sz w:val="20"/>
                <w:highlight w:val="none"/>
              </w:rPr>
              <w:tab/>
            </w:r>
            <w:r>
              <w:rPr>
                <w:sz w:val="20"/>
                <w:highlight w:val="none"/>
              </w:rPr>
              <w:t>No measurement gap occurs</w:t>
            </w:r>
          </w:p>
          <w:p>
            <w:pPr>
              <w:pStyle w:val="46"/>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highlight w:val="none"/>
              </w:rPr>
            </w:pPr>
            <w:r>
              <w:rPr>
                <w:sz w:val="20"/>
                <w:highlight w:val="none"/>
              </w:rPr>
              <w:t>-</w:t>
            </w:r>
            <w:r>
              <w:rPr>
                <w:sz w:val="20"/>
                <w:highlight w:val="none"/>
              </w:rPr>
              <w:tab/>
            </w:r>
            <w:r>
              <w:rPr>
                <w:sz w:val="20"/>
                <w:highlight w:val="none"/>
              </w:rPr>
              <w:t>No instance of SRS transmission with the usage antenna switching occurs</w:t>
            </w:r>
          </w:p>
          <w:p>
            <w:pPr>
              <w:pStyle w:val="46"/>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highlight w:val="none"/>
              </w:rPr>
            </w:pPr>
            <w:r>
              <w:rPr>
                <w:sz w:val="20"/>
                <w:highlight w:val="none"/>
              </w:rPr>
              <w:t>-</w:t>
            </w:r>
            <w:r>
              <w:rPr>
                <w:sz w:val="20"/>
                <w:highlight w:val="none"/>
              </w:rPr>
              <w:tab/>
            </w:r>
            <w:r>
              <w:rPr>
                <w:sz w:val="20"/>
                <w:highlight w:val="none"/>
              </w:rPr>
              <w:t>Active BWP remains the same</w:t>
            </w:r>
          </w:p>
          <w:p>
            <w:pPr>
              <w:pStyle w:val="46"/>
              <w:keepNext w:val="0"/>
              <w:keepLines w:val="0"/>
              <w:pageBreakBefore w:val="0"/>
              <w:widowControl w:val="0"/>
              <w:kinsoku/>
              <w:wordWrap/>
              <w:overflowPunct w:val="0"/>
              <w:topLinePunct w:val="0"/>
              <w:autoSpaceDE w:val="0"/>
              <w:autoSpaceDN w:val="0"/>
              <w:bidi w:val="0"/>
              <w:adjustRightInd w:val="0"/>
              <w:spacing w:after="180"/>
              <w:jc w:val="both"/>
              <w:textAlignment w:val="baseline"/>
              <w:rPr>
                <w:rFonts w:hint="default"/>
                <w:bCs/>
                <w:i w:val="0"/>
                <w:iCs/>
                <w:sz w:val="20"/>
                <w:szCs w:val="20"/>
                <w:highlight w:val="none"/>
                <w:vertAlign w:val="baseline"/>
                <w:lang w:val="en-US" w:eastAsia="zh-CN"/>
              </w:rPr>
            </w:pPr>
            <w:r>
              <w:rPr>
                <w:sz w:val="20"/>
                <w:highlight w:val="none"/>
              </w:rPr>
              <w:t>-</w:t>
            </w:r>
            <w:r>
              <w:rPr>
                <w:sz w:val="20"/>
                <w:highlight w:val="none"/>
              </w:rPr>
              <w:tab/>
            </w:r>
            <w:r>
              <w:rPr>
                <w:sz w:val="20"/>
                <w:highlight w:val="none"/>
              </w:rPr>
              <w:t>EN-DC and CA configuration is not changed for the UE (UE is not configured or de-configured with PScell or SCell(s))</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Cs/>
          <w:i w:val="0"/>
          <w:iCs/>
          <w:sz w:val="20"/>
          <w:szCs w:val="20"/>
          <w:highlight w:val="none"/>
          <w:lang w:val="en-US" w:eastAsia="zh-CN"/>
        </w:rPr>
      </w:pPr>
      <w:r>
        <w:rPr>
          <w:rFonts w:hint="eastAsia"/>
          <w:bCs/>
          <w:i w:val="0"/>
          <w:iCs/>
          <w:sz w:val="20"/>
          <w:szCs w:val="20"/>
          <w:highlight w:val="none"/>
          <w:lang w:val="en-US" w:eastAsia="zh-CN"/>
        </w:rPr>
        <w:t>However, it was hardly implemented in the filed due to some below challenges:</w:t>
      </w:r>
    </w:p>
    <w:p>
      <w:pPr>
        <w:keepNext w:val="0"/>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Cs/>
          <w:i w:val="0"/>
          <w:iCs/>
          <w:sz w:val="20"/>
          <w:szCs w:val="20"/>
          <w:highlight w:val="none"/>
          <w:lang w:val="en-US" w:eastAsia="zh-CN"/>
        </w:rPr>
      </w:pPr>
      <w:r>
        <w:rPr>
          <w:rFonts w:hint="eastAsia"/>
          <w:bCs/>
          <w:i w:val="0"/>
          <w:iCs/>
          <w:sz w:val="20"/>
          <w:szCs w:val="20"/>
          <w:highlight w:val="none"/>
          <w:lang w:val="en-US" w:eastAsia="zh-CN"/>
        </w:rPr>
        <w:t>Stringent requirements must be met in both the</w:t>
      </w:r>
      <w:r>
        <w:rPr>
          <w:rFonts w:hint="default"/>
          <w:bCs/>
          <w:i w:val="0"/>
          <w:iCs/>
          <w:sz w:val="20"/>
          <w:szCs w:val="20"/>
          <w:highlight w:val="none"/>
          <w:lang w:val="en-US" w:eastAsia="zh-CN"/>
        </w:rPr>
        <w:t> Baseband (digital processing) and the RF (analog hardware) parts of the transceiver</w:t>
      </w:r>
      <w:r>
        <w:rPr>
          <w:rFonts w:hint="eastAsia"/>
          <w:bCs/>
          <w:i w:val="0"/>
          <w:iCs/>
          <w:sz w:val="20"/>
          <w:szCs w:val="20"/>
          <w:highlight w:val="none"/>
          <w:lang w:val="en-US" w:eastAsia="zh-CN"/>
        </w:rPr>
        <w:t xml:space="preserve">, i.e. </w:t>
      </w:r>
      <w:r>
        <w:rPr>
          <w:rFonts w:hint="eastAsia" w:ascii="Times New Roman" w:hAnsi="Times New Roman" w:cs="Times New Roman"/>
          <w:bCs/>
          <w:i w:val="0"/>
          <w:iCs/>
          <w:kern w:val="2"/>
          <w:sz w:val="20"/>
          <w:szCs w:val="20"/>
          <w:highlight w:val="none"/>
          <w:lang w:val="en-US" w:eastAsia="zh-CN" w:bidi="ar-SA"/>
        </w:rPr>
        <w:t>RF chains between RFIC are well synchronized (e.g. shared PLL and shared Qgen circuit)</w:t>
      </w:r>
      <w:r>
        <w:rPr>
          <w:rFonts w:hint="default"/>
          <w:bCs/>
          <w:i w:val="0"/>
          <w:iCs/>
          <w:sz w:val="20"/>
          <w:szCs w:val="20"/>
          <w:highlight w:val="none"/>
          <w:lang w:val="en-US"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Cs/>
          <w:i w:val="0"/>
          <w:iCs/>
          <w:sz w:val="20"/>
          <w:szCs w:val="20"/>
          <w:highlight w:val="none"/>
          <w:lang w:val="en-US" w:eastAsia="zh-CN"/>
        </w:rPr>
      </w:pPr>
      <w:r>
        <w:rPr>
          <w:rFonts w:hint="eastAsia"/>
          <w:bCs/>
          <w:i w:val="0"/>
          <w:iCs/>
          <w:sz w:val="20"/>
          <w:szCs w:val="20"/>
          <w:highlight w:val="none"/>
          <w:lang w:val="en-US" w:eastAsia="zh-CN"/>
        </w:rPr>
        <w:t>The baseband must</w:t>
      </w:r>
      <w:r>
        <w:rPr>
          <w:rFonts w:hint="default"/>
          <w:bCs/>
          <w:i w:val="0"/>
          <w:iCs/>
          <w:sz w:val="20"/>
          <w:szCs w:val="20"/>
          <w:highlight w:val="none"/>
          <w:lang w:val="en-US" w:eastAsia="zh-CN"/>
        </w:rPr>
        <w:t> know the channel, calculate the correct precoding weights, and synchronize the data streams to set the stage for coherent transmission</w:t>
      </w:r>
      <w:r>
        <w:rPr>
          <w:rFonts w:hint="eastAsia"/>
          <w:bCs/>
          <w:i w:val="0"/>
          <w:iCs/>
          <w:sz w:val="20"/>
          <w:szCs w:val="20"/>
          <w:highlight w:val="none"/>
          <w:lang w:val="en-US" w:eastAsia="zh-CN"/>
        </w:rPr>
        <w:t>,  </w:t>
      </w:r>
    </w:p>
    <w:p>
      <w:pPr>
        <w:keepNext w:val="0"/>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Cs/>
          <w:i w:val="0"/>
          <w:iCs/>
          <w:sz w:val="20"/>
          <w:szCs w:val="20"/>
          <w:highlight w:val="none"/>
          <w:lang w:val="en-US" w:eastAsia="zh-CN"/>
        </w:rPr>
      </w:pPr>
      <w:r>
        <w:rPr>
          <w:rFonts w:hint="default"/>
          <w:bCs/>
          <w:i w:val="0"/>
          <w:iCs/>
          <w:sz w:val="20"/>
          <w:szCs w:val="20"/>
          <w:highlight w:val="none"/>
          <w:lang w:val="en-US" w:eastAsia="zh-CN"/>
        </w:rPr>
        <w:t xml:space="preserve">The RF hardware must preserve the precise phase and amplitude relationships set by the baseband. Any unknown drift or mismatch between the transmit chains </w:t>
      </w:r>
      <w:r>
        <w:rPr>
          <w:rFonts w:hint="eastAsia"/>
          <w:bCs/>
          <w:i w:val="0"/>
          <w:iCs/>
          <w:sz w:val="20"/>
          <w:szCs w:val="20"/>
          <w:highlight w:val="none"/>
          <w:lang w:val="en-US" w:eastAsia="zh-CN"/>
        </w:rPr>
        <w:t xml:space="preserve">such as </w:t>
      </w:r>
      <w:r>
        <w:rPr>
          <w:rFonts w:hint="eastAsia" w:ascii="Times New Roman" w:hAnsi="Times New Roman" w:cs="Times New Roman"/>
          <w:bCs/>
          <w:i w:val="0"/>
          <w:iCs/>
          <w:kern w:val="2"/>
          <w:sz w:val="20"/>
          <w:szCs w:val="20"/>
          <w:highlight w:val="none"/>
          <w:lang w:val="en-US" w:eastAsia="zh-CN" w:bidi="ar-SA"/>
        </w:rPr>
        <w:t>timing misalignment caused by PA, front-end filter/combiner</w:t>
      </w:r>
      <w:r>
        <w:rPr>
          <w:rFonts w:hint="eastAsia" w:cs="Times New Roman"/>
          <w:bCs/>
          <w:i w:val="0"/>
          <w:iCs/>
          <w:kern w:val="2"/>
          <w:sz w:val="20"/>
          <w:szCs w:val="20"/>
          <w:highlight w:val="none"/>
          <w:lang w:val="en-US" w:eastAsia="zh-CN" w:bidi="ar-SA"/>
        </w:rPr>
        <w:t xml:space="preserve"> during the OEM assembling</w:t>
      </w:r>
      <w:r>
        <w:rPr>
          <w:rFonts w:hint="eastAsia" w:ascii="Times New Roman" w:hAnsi="Times New Roman" w:cs="Times New Roman"/>
          <w:bCs/>
          <w:i w:val="0"/>
          <w:iCs/>
          <w:kern w:val="2"/>
          <w:sz w:val="20"/>
          <w:szCs w:val="20"/>
          <w:highlight w:val="none"/>
          <w:lang w:val="en-US" w:eastAsia="zh-CN" w:bidi="ar-SA"/>
        </w:rPr>
        <w:t xml:space="preserve"> </w:t>
      </w:r>
      <w:r>
        <w:rPr>
          <w:rFonts w:hint="default"/>
          <w:bCs/>
          <w:i w:val="0"/>
          <w:iCs/>
          <w:sz w:val="20"/>
          <w:szCs w:val="20"/>
          <w:highlight w:val="none"/>
          <w:lang w:val="en-US" w:eastAsia="zh-CN"/>
        </w:rPr>
        <w:t>will destroy coherence.</w:t>
      </w:r>
    </w:p>
    <w:p>
      <w:pPr>
        <w:keepNext w:val="0"/>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Cs/>
          <w:i w:val="0"/>
          <w:iCs/>
          <w:sz w:val="20"/>
          <w:szCs w:val="20"/>
          <w:highlight w:val="none"/>
          <w:lang w:val="en-US" w:eastAsia="zh-CN"/>
        </w:rPr>
      </w:pPr>
      <w:r>
        <w:rPr>
          <w:rFonts w:hint="default"/>
          <w:bCs/>
          <w:i w:val="0"/>
          <w:iCs/>
          <w:sz w:val="20"/>
          <w:szCs w:val="20"/>
          <w:highlight w:val="none"/>
          <w:lang w:val="en-US" w:eastAsia="zh-CN"/>
        </w:rPr>
        <w:t xml:space="preserve">Interaction </w:t>
      </w:r>
      <w:r>
        <w:rPr>
          <w:rFonts w:hint="eastAsia"/>
          <w:bCs/>
          <w:i w:val="0"/>
          <w:iCs/>
          <w:sz w:val="20"/>
          <w:szCs w:val="20"/>
          <w:highlight w:val="none"/>
          <w:lang w:val="en-US" w:eastAsia="zh-CN"/>
        </w:rPr>
        <w:t>b</w:t>
      </w:r>
      <w:r>
        <w:rPr>
          <w:rFonts w:hint="default"/>
          <w:bCs/>
          <w:i w:val="0"/>
          <w:iCs/>
          <w:sz w:val="20"/>
          <w:szCs w:val="20"/>
          <w:highlight w:val="none"/>
          <w:lang w:val="en-US" w:eastAsia="zh-CN"/>
        </w:rPr>
        <w:t>etween Baseband and RF</w:t>
      </w:r>
      <w:r>
        <w:rPr>
          <w:rFonts w:hint="eastAsia"/>
          <w:bCs/>
          <w:i w:val="0"/>
          <w:iCs/>
          <w:sz w:val="20"/>
          <w:szCs w:val="20"/>
          <w:highlight w:val="none"/>
          <w:lang w:val="en-US" w:eastAsia="zh-CN"/>
        </w:rPr>
        <w:t>, such as calibrate phase and amplitude imbalances of each RF chain, shall be needed.</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eastAsia" w:ascii="Times New Roman" w:hAnsi="Times New Roman" w:cs="Times New Roman"/>
          <w:bCs/>
          <w:i w:val="0"/>
          <w:iCs/>
          <w:kern w:val="2"/>
          <w:sz w:val="20"/>
          <w:szCs w:val="20"/>
          <w:highlight w:val="none"/>
          <w:lang w:val="en-US" w:eastAsia="zh-CN" w:bidi="ar-SA"/>
        </w:rPr>
      </w:pPr>
      <w:r>
        <w:rPr>
          <w:rFonts w:hint="eastAsia" w:ascii="Times New Roman" w:hAnsi="Times New Roman" w:cs="Times New Roman"/>
          <w:bCs/>
          <w:i w:val="0"/>
          <w:iCs/>
          <w:kern w:val="2"/>
          <w:sz w:val="20"/>
          <w:szCs w:val="20"/>
          <w:highlight w:val="none"/>
          <w:lang w:val="en-US" w:eastAsia="zh-CN" w:bidi="ar-SA"/>
        </w:rPr>
        <w:t xml:space="preserve">Coherent UL MIMO has been introduced from Rel-15 specification, </w:t>
      </w:r>
      <w:r>
        <w:rPr>
          <w:rFonts w:hint="eastAsia" w:cs="Times New Roman"/>
          <w:bCs/>
          <w:i w:val="0"/>
          <w:iCs/>
          <w:kern w:val="2"/>
          <w:sz w:val="20"/>
          <w:szCs w:val="20"/>
          <w:highlight w:val="none"/>
          <w:lang w:val="en-US" w:eastAsia="zh-CN" w:bidi="ar-SA"/>
        </w:rPr>
        <w:t xml:space="preserve">however due to the following potential implementation problems, UL coherent MIMO is not very successfully commercialized yet in the </w:t>
      </w:r>
      <w:r>
        <w:rPr>
          <w:rFonts w:hint="eastAsia" w:ascii="Times New Roman" w:hAnsi="Times New Roman" w:cs="Times New Roman"/>
          <w:bCs/>
          <w:i w:val="0"/>
          <w:iCs/>
          <w:kern w:val="2"/>
          <w:sz w:val="20"/>
          <w:szCs w:val="20"/>
          <w:highlight w:val="none"/>
          <w:lang w:val="en-US" w:eastAsia="zh-CN" w:bidi="ar-SA"/>
        </w:rPr>
        <w:t>.</w:t>
      </w:r>
    </w:p>
    <w:p>
      <w:pPr>
        <w:keepNext w:val="0"/>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60" w:lineRule="auto"/>
        <w:ind w:left="420" w:leftChars="0" w:right="210" w:rightChars="100" w:hanging="420"/>
        <w:jc w:val="both"/>
        <w:textAlignment w:val="auto"/>
        <w:outlineLvl w:val="9"/>
        <w:rPr>
          <w:rFonts w:hint="eastAsia" w:ascii="Times New Roman" w:hAnsi="Times New Roman" w:cs="Times New Roman"/>
          <w:bCs/>
          <w:i w:val="0"/>
          <w:iCs/>
          <w:kern w:val="2"/>
          <w:sz w:val="20"/>
          <w:szCs w:val="20"/>
          <w:highlight w:val="none"/>
          <w:lang w:val="en-US" w:eastAsia="zh-CN" w:bidi="ar-SA"/>
        </w:rPr>
      </w:pPr>
      <w:r>
        <w:rPr>
          <w:rFonts w:hint="eastAsia" w:ascii="Times New Roman" w:hAnsi="Times New Roman" w:cs="Times New Roman"/>
          <w:bCs/>
          <w:i w:val="0"/>
          <w:iCs/>
          <w:kern w:val="2"/>
          <w:sz w:val="20"/>
          <w:szCs w:val="20"/>
          <w:highlight w:val="none"/>
          <w:lang w:val="en-US" w:eastAsia="zh-CN" w:bidi="ar-SA"/>
        </w:rPr>
        <w:t xml:space="preserve">RF chains between RFIC are well synchronized (e.g. shared PLL and shared Qgen circuit) </w:t>
      </w:r>
    </w:p>
    <w:p>
      <w:pPr>
        <w:keepNext w:val="0"/>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60" w:lineRule="auto"/>
        <w:ind w:left="420" w:leftChars="0" w:right="210" w:rightChars="100" w:hanging="420"/>
        <w:jc w:val="both"/>
        <w:textAlignment w:val="auto"/>
        <w:outlineLvl w:val="9"/>
        <w:rPr>
          <w:rFonts w:hint="eastAsia" w:ascii="Times New Roman" w:hAnsi="Times New Roman" w:cs="Times New Roman"/>
          <w:bCs/>
          <w:i w:val="0"/>
          <w:iCs/>
          <w:kern w:val="2"/>
          <w:sz w:val="20"/>
          <w:szCs w:val="20"/>
          <w:highlight w:val="none"/>
          <w:lang w:val="en-US" w:eastAsia="zh-CN" w:bidi="ar-SA"/>
        </w:rPr>
      </w:pPr>
      <w:r>
        <w:rPr>
          <w:rFonts w:hint="eastAsia" w:ascii="Times New Roman" w:hAnsi="Times New Roman" w:cs="Times New Roman"/>
          <w:bCs/>
          <w:i w:val="0"/>
          <w:iCs/>
          <w:kern w:val="2"/>
          <w:sz w:val="20"/>
          <w:szCs w:val="20"/>
          <w:highlight w:val="none"/>
          <w:lang w:val="en-US" w:eastAsia="zh-CN" w:bidi="ar-SA"/>
        </w:rPr>
        <w:t>Additional timing misalignment caused by PA, front-end filter/combiner</w:t>
      </w:r>
      <w:r>
        <w:rPr>
          <w:rFonts w:hint="eastAsia" w:cs="Times New Roman"/>
          <w:bCs/>
          <w:i w:val="0"/>
          <w:iCs/>
          <w:kern w:val="2"/>
          <w:sz w:val="20"/>
          <w:szCs w:val="20"/>
          <w:highlight w:val="none"/>
          <w:lang w:val="en-US" w:eastAsia="zh-CN" w:bidi="ar-SA"/>
        </w:rPr>
        <w:t xml:space="preserve"> during the OEM assembling</w:t>
      </w:r>
      <w:r>
        <w:rPr>
          <w:rFonts w:hint="eastAsia" w:ascii="Times New Roman" w:hAnsi="Times New Roman" w:cs="Times New Roman"/>
          <w:bCs/>
          <w:i w:val="0"/>
          <w:iCs/>
          <w:kern w:val="2"/>
          <w:sz w:val="20"/>
          <w:szCs w:val="20"/>
          <w:highlight w:val="none"/>
          <w:lang w:val="en-US" w:eastAsia="zh-CN" w:bidi="ar-SA"/>
        </w:rPr>
        <w:t xml:space="preserve"> etc.</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60" w:lineRule="auto"/>
        <w:ind w:left="0" w:leftChars="0" w:right="210" w:rightChars="100" w:firstLine="0"/>
        <w:jc w:val="both"/>
        <w:textAlignment w:val="auto"/>
        <w:outlineLvl w:val="9"/>
        <w:rPr>
          <w:rFonts w:hint="default" w:ascii="Times New Roman" w:hAnsi="Times New Roman" w:cs="Times New Roman"/>
          <w:bCs/>
          <w:i w:val="0"/>
          <w:iCs/>
          <w:kern w:val="2"/>
          <w:sz w:val="20"/>
          <w:szCs w:val="20"/>
          <w:highlight w:val="none"/>
          <w:lang w:val="en-US" w:eastAsia="zh-CN" w:bidi="ar-SA"/>
        </w:rPr>
      </w:pPr>
      <w:r>
        <w:rPr>
          <w:rFonts w:hint="eastAsia" w:cs="Times New Roman"/>
          <w:bCs/>
          <w:i w:val="0"/>
          <w:iCs/>
          <w:kern w:val="2"/>
          <w:sz w:val="20"/>
          <w:szCs w:val="20"/>
          <w:highlight w:val="none"/>
          <w:lang w:val="en-US" w:eastAsia="zh-CN" w:bidi="ar-SA"/>
        </w:rPr>
        <w:t>An example overview for coherent UL MIMO implementation with the DPD link as alternative feedback link for internal calibration can be found in Figure 2.2.3-1.</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sz w:val="20"/>
          <w:highlight w:val="none"/>
        </w:rPr>
      </w:pPr>
      <w:r>
        <w:rPr>
          <w:sz w:val="20"/>
          <w:highlight w:val="none"/>
        </w:rPr>
        <w:drawing>
          <wp:inline distT="0" distB="0" distL="114300" distR="114300">
            <wp:extent cx="4220210" cy="720090"/>
            <wp:effectExtent l="0" t="0" r="1270" b="1143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220210" cy="72009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sz w:val="20"/>
          <w:highlight w:val="none"/>
        </w:rPr>
      </w:pPr>
      <w:r>
        <w:rPr>
          <w:rFonts w:hint="eastAsia"/>
          <w:sz w:val="20"/>
          <w:highlight w:val="none"/>
          <w:lang w:val="en-US" w:eastAsia="zh-CN"/>
        </w:rPr>
        <w:t xml:space="preserve">Figure 2.2.3-1. Illustration example for </w:t>
      </w:r>
      <w:r>
        <w:rPr>
          <w:rFonts w:hint="eastAsia" w:cs="Times New Roman"/>
          <w:bCs/>
          <w:i w:val="0"/>
          <w:iCs/>
          <w:kern w:val="2"/>
          <w:sz w:val="20"/>
          <w:szCs w:val="20"/>
          <w:highlight w:val="none"/>
          <w:lang w:val="en-US" w:eastAsia="zh-CN" w:bidi="ar-SA"/>
        </w:rPr>
        <w:t>coherent UL MIMO implementation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i w:val="0"/>
          <w:iCs/>
          <w:sz w:val="20"/>
          <w:szCs w:val="20"/>
          <w:highlight w:val="none"/>
          <w:lang w:val="en-US" w:eastAsia="zh-CN"/>
        </w:rPr>
      </w:pPr>
      <w:r>
        <w:rPr>
          <w:rFonts w:hint="eastAsia"/>
          <w:bCs/>
          <w:i w:val="0"/>
          <w:iCs/>
          <w:sz w:val="20"/>
          <w:szCs w:val="20"/>
          <w:highlight w:val="none"/>
          <w:lang w:val="en-US" w:eastAsia="zh-CN"/>
        </w:rPr>
        <w:t xml:space="preserve">For 6GR spectrum around </w:t>
      </w:r>
      <w:r>
        <w:rPr>
          <w:rFonts w:hint="default" w:ascii="Times New Roman" w:hAnsi="Times New Roman" w:cs="Times New Roman"/>
          <w:kern w:val="0"/>
          <w:sz w:val="20"/>
          <w:szCs w:val="20"/>
          <w:highlight w:val="none"/>
          <w:vertAlign w:val="baseline"/>
          <w:lang w:val="en-US" w:eastAsia="zh-CN"/>
        </w:rPr>
        <w:t>7GHz</w:t>
      </w:r>
      <w:r>
        <w:rPr>
          <w:rFonts w:hint="eastAsia"/>
          <w:bCs/>
          <w:i w:val="0"/>
          <w:iCs/>
          <w:sz w:val="20"/>
          <w:szCs w:val="20"/>
          <w:highlight w:val="none"/>
          <w:lang w:val="en-US" w:eastAsia="zh-CN"/>
        </w:rPr>
        <w:t>, it is desirable to r</w:t>
      </w:r>
      <w:r>
        <w:rPr>
          <w:rFonts w:hint="default"/>
          <w:bCs/>
          <w:i w:val="0"/>
          <w:iCs/>
          <w:sz w:val="20"/>
          <w:szCs w:val="20"/>
          <w:highlight w:val="none"/>
          <w:lang w:val="en-US" w:eastAsia="zh-CN"/>
        </w:rPr>
        <w:t>e-use of existing 5G mid-band (~3.5GHz) site grid for 6G deployments</w:t>
      </w:r>
      <w:r>
        <w:rPr>
          <w:rFonts w:hint="eastAsia"/>
          <w:bCs/>
          <w:i w:val="0"/>
          <w:iCs/>
          <w:sz w:val="20"/>
          <w:szCs w:val="20"/>
          <w:highlight w:val="none"/>
          <w:lang w:val="en-US" w:eastAsia="zh-CN"/>
        </w:rPr>
        <w:t xml:space="preserve"> </w:t>
      </w:r>
      <w:r>
        <w:rPr>
          <w:rFonts w:hint="default"/>
          <w:bCs/>
          <w:i w:val="0"/>
          <w:iCs/>
          <w:sz w:val="20"/>
          <w:szCs w:val="20"/>
          <w:highlight w:val="none"/>
          <w:lang w:val="en-US" w:eastAsia="zh-CN"/>
        </w:rPr>
        <w:t xml:space="preserve">and targeting comparable coverage to 5G </w:t>
      </w:r>
      <w:r>
        <w:rPr>
          <w:rFonts w:hint="eastAsia"/>
          <w:bCs/>
          <w:i w:val="0"/>
          <w:iCs/>
          <w:sz w:val="20"/>
          <w:szCs w:val="20"/>
          <w:highlight w:val="none"/>
          <w:lang w:val="en-US" w:eastAsia="zh-CN"/>
        </w:rPr>
        <w:t>mid-high spectrum (~3.5GHz)</w:t>
      </w:r>
      <w:r>
        <w:rPr>
          <w:rFonts w:hint="default"/>
          <w:bCs/>
          <w:i w:val="0"/>
          <w:iCs/>
          <w:sz w:val="20"/>
          <w:szCs w:val="20"/>
          <w:highlight w:val="none"/>
          <w:lang w:val="en-US" w:eastAsia="zh-CN"/>
        </w:rPr>
        <w:t>.</w:t>
      </w:r>
      <w:r>
        <w:rPr>
          <w:rFonts w:hint="eastAsia"/>
          <w:bCs/>
          <w:i w:val="0"/>
          <w:iCs/>
          <w:sz w:val="20"/>
          <w:szCs w:val="20"/>
          <w:highlight w:val="none"/>
          <w:lang w:val="en-US" w:eastAsia="zh-CN"/>
        </w:rPr>
        <w:t xml:space="preserve"> However, the UL coverage for the spectrum around </w:t>
      </w:r>
      <w:r>
        <w:rPr>
          <w:rFonts w:hint="default" w:ascii="Times New Roman" w:hAnsi="Times New Roman" w:cs="Times New Roman"/>
          <w:kern w:val="0"/>
          <w:sz w:val="20"/>
          <w:szCs w:val="20"/>
          <w:highlight w:val="none"/>
          <w:vertAlign w:val="baseline"/>
          <w:lang w:val="en-US" w:eastAsia="zh-CN"/>
        </w:rPr>
        <w:t>7GHz</w:t>
      </w:r>
      <w:r>
        <w:rPr>
          <w:rFonts w:hint="eastAsia"/>
          <w:bCs/>
          <w:i w:val="0"/>
          <w:iCs/>
          <w:sz w:val="20"/>
          <w:szCs w:val="20"/>
          <w:highlight w:val="none"/>
          <w:lang w:val="en-US" w:eastAsia="zh-CN"/>
        </w:rPr>
        <w:t xml:space="preserve"> would be smaller than the </w:t>
      </w:r>
      <w:r>
        <w:rPr>
          <w:rFonts w:hint="default"/>
          <w:bCs/>
          <w:i w:val="0"/>
          <w:iCs/>
          <w:sz w:val="20"/>
          <w:szCs w:val="20"/>
          <w:highlight w:val="none"/>
          <w:lang w:val="en-US" w:eastAsia="zh-CN"/>
        </w:rPr>
        <w:t xml:space="preserve">5G </w:t>
      </w:r>
      <w:r>
        <w:rPr>
          <w:rFonts w:hint="eastAsia"/>
          <w:bCs/>
          <w:i w:val="0"/>
          <w:iCs/>
          <w:sz w:val="20"/>
          <w:szCs w:val="20"/>
          <w:highlight w:val="none"/>
          <w:lang w:val="en-US" w:eastAsia="zh-CN"/>
        </w:rPr>
        <w:t>mid-high spectrum (~3.5GHz) due to the more severed propagation loss caused by the higher frequency.</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Cs/>
          <w:i w:val="0"/>
          <w:iCs/>
          <w:sz w:val="20"/>
          <w:szCs w:val="20"/>
          <w:highlight w:val="none"/>
          <w:lang w:val="en-US" w:eastAsia="zh-CN"/>
        </w:rPr>
      </w:pPr>
      <w:r>
        <w:rPr>
          <w:rFonts w:hint="eastAsia"/>
          <w:bCs/>
          <w:i w:val="0"/>
          <w:iCs/>
          <w:sz w:val="20"/>
          <w:szCs w:val="20"/>
          <w:highlight w:val="none"/>
          <w:lang w:val="en-US" w:eastAsia="zh-CN"/>
        </w:rPr>
        <w:t>In the Figure 2.2.3-2, we provide some information for the UL coverage comparison between 3.5GHz and around 7GHz with or without coherent transmission.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highlight w:val="none"/>
        </w:rPr>
      </w:pPr>
      <w:r>
        <w:rPr>
          <w:highlight w:val="none"/>
        </w:rPr>
        <w:drawing>
          <wp:inline distT="0" distB="0" distL="114300" distR="114300">
            <wp:extent cx="3580130" cy="2251075"/>
            <wp:effectExtent l="0" t="0" r="1270" b="4445"/>
            <wp:docPr id="7" name="图片 12" descr="edgeUPT0108"/>
            <wp:cNvGraphicFramePr/>
            <a:graphic xmlns:a="http://schemas.openxmlformats.org/drawingml/2006/main">
              <a:graphicData uri="http://schemas.openxmlformats.org/drawingml/2006/picture">
                <pic:pic xmlns:pic="http://schemas.openxmlformats.org/drawingml/2006/picture">
                  <pic:nvPicPr>
                    <pic:cNvPr id="7" name="图片 12" descr="edgeUPT0108"/>
                    <pic:cNvPicPr/>
                  </pic:nvPicPr>
                  <pic:blipFill>
                    <a:blip r:embed="rId14"/>
                    <a:stretch>
                      <a:fillRect/>
                    </a:stretch>
                  </pic:blipFill>
                  <pic:spPr>
                    <a:xfrm>
                      <a:off x="0" y="0"/>
                      <a:ext cx="3580130" cy="225107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rFonts w:hint="eastAsia"/>
          <w:highlight w:val="none"/>
          <w:lang w:val="en-US" w:eastAsia="zh-CN"/>
        </w:rPr>
      </w:pPr>
      <w:r>
        <w:rPr>
          <w:rFonts w:hint="eastAsia"/>
          <w:highlight w:val="none"/>
          <w:lang w:val="en-US" w:eastAsia="zh-CN"/>
        </w:rPr>
        <w:t>(a)</w:t>
      </w:r>
      <w:r>
        <w:rPr>
          <w:rFonts w:hint="eastAsia"/>
          <w:sz w:val="20"/>
          <w:szCs w:val="20"/>
          <w:highlight w:val="none"/>
          <w:lang w:val="en-US" w:eastAsia="zh-CN"/>
        </w:rPr>
        <w:t xml:space="preserve"> cell edge throughput</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highlight w:val="none"/>
        </w:rPr>
      </w:pPr>
      <w:r>
        <w:rPr>
          <w:highlight w:val="none"/>
        </w:rPr>
        <w:drawing>
          <wp:inline distT="0" distB="0" distL="114300" distR="114300">
            <wp:extent cx="3267710" cy="1728470"/>
            <wp:effectExtent l="0" t="0" r="8890" b="8890"/>
            <wp:docPr id="4" name="图片 8" descr="avgUPT0108"/>
            <wp:cNvGraphicFramePr/>
            <a:graphic xmlns:a="http://schemas.openxmlformats.org/drawingml/2006/main">
              <a:graphicData uri="http://schemas.openxmlformats.org/drawingml/2006/picture">
                <pic:pic xmlns:pic="http://schemas.openxmlformats.org/drawingml/2006/picture">
                  <pic:nvPicPr>
                    <pic:cNvPr id="4" name="图片 8" descr="avgUPT0108"/>
                    <pic:cNvPicPr/>
                  </pic:nvPicPr>
                  <pic:blipFill>
                    <a:blip r:embed="rId15"/>
                    <a:stretch>
                      <a:fillRect/>
                    </a:stretch>
                  </pic:blipFill>
                  <pic:spPr>
                    <a:xfrm>
                      <a:off x="0" y="0"/>
                      <a:ext cx="3267710" cy="172847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rFonts w:hint="default" w:eastAsia="宋体"/>
          <w:highlight w:val="none"/>
          <w:lang w:val="en-US" w:eastAsia="zh-CN"/>
        </w:rPr>
      </w:pPr>
      <w:r>
        <w:rPr>
          <w:rFonts w:hint="eastAsia"/>
          <w:highlight w:val="none"/>
          <w:lang w:val="en-US" w:eastAsia="zh-CN"/>
        </w:rPr>
        <w:t xml:space="preserve">(b) </w:t>
      </w:r>
      <w:r>
        <w:rPr>
          <w:rFonts w:hint="eastAsia"/>
          <w:sz w:val="20"/>
          <w:szCs w:val="20"/>
          <w:highlight w:val="none"/>
          <w:lang w:val="en-US" w:eastAsia="zh-CN"/>
        </w:rPr>
        <w:t>Average throughput</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center"/>
        <w:textAlignment w:val="auto"/>
        <w:outlineLvl w:val="9"/>
        <w:rPr>
          <w:rFonts w:hint="eastAsia"/>
          <w:sz w:val="20"/>
          <w:szCs w:val="20"/>
          <w:highlight w:val="none"/>
          <w:lang w:val="en-US" w:eastAsia="zh-CN"/>
        </w:rPr>
      </w:pPr>
      <w:r>
        <w:rPr>
          <w:rFonts w:hint="eastAsia"/>
          <w:sz w:val="20"/>
          <w:szCs w:val="20"/>
          <w:highlight w:val="none"/>
          <w:lang w:val="en-US" w:eastAsia="zh-CN"/>
        </w:rPr>
        <w:t>Figure 2.2.3-2. Average throughput and cell edge throughput for UL coherent MIMO</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eastAsia"/>
          <w:sz w:val="20"/>
          <w:szCs w:val="20"/>
          <w:highlight w:val="none"/>
          <w:lang w:val="en-US" w:eastAsia="zh-CN"/>
        </w:rPr>
      </w:pPr>
      <w:r>
        <w:rPr>
          <w:rFonts w:hint="eastAsia"/>
          <w:sz w:val="20"/>
          <w:szCs w:val="20"/>
          <w:highlight w:val="none"/>
          <w:lang w:val="en-US" w:eastAsia="zh-CN"/>
        </w:rPr>
        <w:t>We can observe that:</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eastAsia"/>
          <w:sz w:val="20"/>
          <w:szCs w:val="20"/>
          <w:highlight w:val="none"/>
          <w:lang w:val="en-US" w:eastAsia="zh-CN"/>
        </w:rPr>
      </w:pPr>
      <w:r>
        <w:rPr>
          <w:rFonts w:hint="eastAsia"/>
          <w:sz w:val="20"/>
          <w:szCs w:val="20"/>
          <w:highlight w:val="none"/>
          <w:lang w:val="en-US" w:eastAsia="zh-CN"/>
        </w:rPr>
        <w:t>1. For the cell-edge, UPT gain would be rapidly increased with coherent transmission. With the increasing of the Tx/Rx number, the UPT gain will also increase.</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default"/>
          <w:sz w:val="20"/>
          <w:szCs w:val="20"/>
          <w:highlight w:val="none"/>
          <w:lang w:val="en-US"/>
        </w:rPr>
      </w:pPr>
      <w:r>
        <w:rPr>
          <w:rFonts w:hint="eastAsia"/>
          <w:sz w:val="20"/>
          <w:szCs w:val="20"/>
          <w:highlight w:val="none"/>
          <w:lang w:val="en-US" w:eastAsia="zh-CN"/>
        </w:rPr>
        <w:t>2. For the average throughput, similar tendence can be found.</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right="210" w:rightChars="100"/>
        <w:jc w:val="both"/>
        <w:textAlignment w:val="auto"/>
        <w:outlineLvl w:val="9"/>
        <w:rPr>
          <w:rFonts w:hint="eastAsia"/>
          <w:b/>
          <w:bCs/>
          <w:i w:val="0"/>
          <w:iCs/>
          <w:sz w:val="20"/>
          <w:szCs w:val="20"/>
          <w:highlight w:val="none"/>
          <w:lang w:val="en-US" w:eastAsia="zh-CN"/>
        </w:rPr>
      </w:pPr>
      <w:r>
        <w:rPr>
          <w:rFonts w:hint="eastAsia"/>
          <w:b/>
          <w:bCs/>
          <w:sz w:val="20"/>
          <w:szCs w:val="20"/>
          <w:highlight w:val="none"/>
        </w:rPr>
        <w:t>Observation</w:t>
      </w:r>
      <w:r>
        <w:rPr>
          <w:rFonts w:hint="eastAsia"/>
          <w:b/>
          <w:bCs/>
          <w:sz w:val="20"/>
          <w:szCs w:val="20"/>
          <w:highlight w:val="none"/>
          <w:lang w:val="en-US" w:eastAsia="zh-CN"/>
        </w:rPr>
        <w:t xml:space="preserve"> 6</w:t>
      </w:r>
      <w:r>
        <w:rPr>
          <w:rFonts w:hint="eastAsia"/>
          <w:b/>
          <w:bCs/>
          <w:sz w:val="20"/>
          <w:szCs w:val="20"/>
          <w:highlight w:val="none"/>
        </w:rPr>
        <w:t>: Besides for increase of #. Tx in a UE, UL coherent transmission and corresponding high-resolution UL codebook become critical for boosting up UL transmission, especially for cell-edge UE (50~100% UPT gain)</w:t>
      </w:r>
      <w:r>
        <w:rPr>
          <w:rFonts w:hint="eastAsia"/>
          <w:b/>
          <w:bCs/>
          <w:sz w:val="20"/>
          <w:szCs w:val="20"/>
          <w:highlight w:val="none"/>
          <w:lang w:val="en-US"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Cs/>
          <w:i w:val="0"/>
          <w:iCs/>
          <w:sz w:val="20"/>
          <w:szCs w:val="20"/>
          <w:highlight w:val="none"/>
          <w:lang w:val="en-US" w:eastAsia="zh-CN"/>
        </w:rPr>
      </w:pPr>
      <w:r>
        <w:rPr>
          <w:rFonts w:hint="eastAsia"/>
          <w:bCs/>
          <w:i w:val="0"/>
          <w:iCs/>
          <w:sz w:val="20"/>
          <w:szCs w:val="20"/>
          <w:highlight w:val="none"/>
          <w:lang w:val="en-US" w:eastAsia="zh-CN"/>
        </w:rPr>
        <w:t>Hence, 6GR should enable coherent UL MIMO feature can further improve the UL coverage.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val="0"/>
          <w:i w:val="0"/>
          <w:iCs/>
          <w:sz w:val="20"/>
          <w:szCs w:val="20"/>
          <w:highlight w:val="none"/>
          <w:lang w:val="en-US" w:eastAsia="zh-CN"/>
        </w:rPr>
      </w:pPr>
      <w:r>
        <w:rPr>
          <w:rFonts w:hint="eastAsia"/>
          <w:b/>
          <w:bCs w:val="0"/>
          <w:i w:val="0"/>
          <w:iCs/>
          <w:sz w:val="20"/>
          <w:szCs w:val="20"/>
          <w:highlight w:val="none"/>
          <w:lang w:val="en-US" w:eastAsia="zh-CN"/>
        </w:rPr>
        <w:t>Proposal 7: Enable Coherent UL MIMO feature for 6GR.</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eastAsia" w:ascii="Times New Roman" w:hAnsi="Times New Roman" w:cs="Times New Roman"/>
          <w:bCs/>
          <w:i w:val="0"/>
          <w:iCs/>
          <w:kern w:val="2"/>
          <w:sz w:val="20"/>
          <w:szCs w:val="20"/>
          <w:highlight w:val="none"/>
          <w:lang w:val="en-US" w:eastAsia="zh-CN" w:bidi="ar-SA"/>
        </w:rPr>
      </w:pPr>
      <w:r>
        <w:rPr>
          <w:rFonts w:hint="eastAsia" w:ascii="Times New Roman" w:hAnsi="Times New Roman" w:cs="Times New Roman"/>
          <w:bCs/>
          <w:i w:val="0"/>
          <w:iCs/>
          <w:kern w:val="2"/>
          <w:sz w:val="20"/>
          <w:szCs w:val="20"/>
          <w:highlight w:val="none"/>
          <w:lang w:val="en-US" w:eastAsia="zh-CN" w:bidi="ar-SA"/>
        </w:rPr>
        <w:t xml:space="preserve">Actually, the coherent UL MIMO objective was included in Rel-16 FR2 WID </w:t>
      </w:r>
      <w:r>
        <w:rPr>
          <w:sz w:val="20"/>
          <w:szCs w:val="20"/>
          <w:highlight w:val="none"/>
        </w:rPr>
        <w:t>NR_RF_FR2_req_enh2</w:t>
      </w:r>
      <w:r>
        <w:rPr>
          <w:rFonts w:hint="eastAsia"/>
          <w:sz w:val="20"/>
          <w:szCs w:val="20"/>
          <w:highlight w:val="none"/>
          <w:lang w:val="en-US" w:eastAsia="zh-CN"/>
        </w:rPr>
        <w:t xml:space="preserve">. RAN4 spent several meetings to discuss the UL gaps for </w:t>
      </w:r>
      <w:r>
        <w:rPr>
          <w:sz w:val="20"/>
          <w:szCs w:val="20"/>
          <w:highlight w:val="none"/>
        </w:rPr>
        <w:t>self-calibration and monitoring</w:t>
      </w:r>
      <w:r>
        <w:rPr>
          <w:rFonts w:hint="eastAsia"/>
          <w:sz w:val="20"/>
          <w:szCs w:val="20"/>
          <w:highlight w:val="none"/>
          <w:lang w:val="en-US" w:eastAsia="zh-CN"/>
        </w:rPr>
        <w:t xml:space="preserve"> for the purposes </w:t>
      </w:r>
      <w:r>
        <w:rPr>
          <w:sz w:val="20"/>
          <w:szCs w:val="20"/>
          <w:highlight w:val="none"/>
        </w:rPr>
        <w:t>UE Tx power management</w:t>
      </w:r>
      <w:r>
        <w:rPr>
          <w:rFonts w:hint="eastAsia" w:eastAsia="宋体"/>
          <w:sz w:val="20"/>
          <w:szCs w:val="20"/>
          <w:highlight w:val="none"/>
          <w:lang w:val="en-US" w:eastAsia="zh-CN"/>
        </w:rPr>
        <w:t xml:space="preserve"> (i.e. MPE) and </w:t>
      </w:r>
      <w:r>
        <w:rPr>
          <w:sz w:val="20"/>
          <w:szCs w:val="20"/>
          <w:highlight w:val="none"/>
        </w:rPr>
        <w:t>Coherent uplink MIMO</w:t>
      </w:r>
      <w:r>
        <w:rPr>
          <w:rFonts w:hint="eastAsia"/>
          <w:sz w:val="20"/>
          <w:szCs w:val="20"/>
          <w:highlight w:val="none"/>
          <w:lang w:val="en-US" w:eastAsia="zh-CN"/>
        </w:rPr>
        <w:t xml:space="preserve">. Unfortunately, the </w:t>
      </w:r>
      <w:r>
        <w:rPr>
          <w:sz w:val="20"/>
          <w:szCs w:val="20"/>
          <w:highlight w:val="none"/>
        </w:rPr>
        <w:t>Coherent uplink MIMO</w:t>
      </w:r>
      <w:r>
        <w:rPr>
          <w:rFonts w:hint="eastAsia"/>
          <w:sz w:val="20"/>
          <w:szCs w:val="20"/>
          <w:highlight w:val="none"/>
          <w:lang w:val="en-US" w:eastAsia="zh-CN"/>
        </w:rPr>
        <w:t xml:space="preserve"> objective was removed form the latest WID due to there were no final consensus achieved in the end. In later releases, there were </w:t>
      </w:r>
      <w:r>
        <w:rPr>
          <w:rFonts w:hint="eastAsia" w:ascii="Times New Roman" w:hAnsi="Times New Roman" w:cs="Times New Roman"/>
          <w:bCs/>
          <w:i w:val="0"/>
          <w:iCs/>
          <w:kern w:val="2"/>
          <w:sz w:val="20"/>
          <w:szCs w:val="20"/>
          <w:highlight w:val="none"/>
          <w:lang w:val="en-US" w:eastAsia="zh-CN" w:bidi="ar-SA"/>
        </w:rPr>
        <w:t>no following up work related to coherent UL MIMO anymore.</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default" w:eastAsia="宋体"/>
          <w:sz w:val="20"/>
          <w:szCs w:val="20"/>
          <w:highlight w:val="none"/>
          <w:lang w:val="en-US" w:eastAsia="zh-CN"/>
        </w:rPr>
      </w:pPr>
      <w:r>
        <w:rPr>
          <w:rFonts w:hint="eastAsia" w:ascii="Times New Roman" w:hAnsi="Times New Roman" w:cs="Times New Roman"/>
          <w:bCs/>
          <w:i w:val="0"/>
          <w:iCs/>
          <w:kern w:val="2"/>
          <w:sz w:val="20"/>
          <w:szCs w:val="20"/>
          <w:highlight w:val="none"/>
          <w:lang w:val="en-US" w:eastAsia="zh-CN" w:bidi="ar-SA"/>
        </w:rPr>
        <w:t xml:space="preserve">Nevertheless, there were some intermediate agreements achieved. Especially for the gain and feasibility of UL gap for UL coherent MIMO in the WF </w:t>
      </w:r>
      <w:r>
        <w:rPr>
          <w:sz w:val="20"/>
          <w:szCs w:val="20"/>
          <w:highlight w:val="none"/>
        </w:rPr>
        <w:t>R4-2119962</w:t>
      </w:r>
      <w:r>
        <w:rPr>
          <w:rFonts w:hint="eastAsia"/>
          <w:sz w:val="20"/>
          <w:szCs w:val="20"/>
          <w:highlight w:val="none"/>
          <w:lang w:val="en-US" w:eastAsia="zh-CN"/>
        </w:rPr>
        <w:t xml:space="preserve">. </w:t>
      </w:r>
      <w:r>
        <w:rPr>
          <w:rFonts w:hint="eastAsia" w:ascii="Times New Roman" w:hAnsi="Times New Roman" w:cs="Times New Roman"/>
          <w:bCs/>
          <w:i w:val="0"/>
          <w:iCs/>
          <w:kern w:val="2"/>
          <w:sz w:val="20"/>
          <w:szCs w:val="20"/>
          <w:highlight w:val="none"/>
          <w:lang w:val="en-US" w:eastAsia="zh-CN" w:bidi="ar-SA"/>
        </w:rPr>
        <w:t xml:space="preserve">Later that, the details for UL gap were discussing like UL gap length, gap pattern, gap indication and so on. But </w:t>
      </w:r>
      <w:r>
        <w:rPr>
          <w:rFonts w:hint="eastAsia"/>
          <w:sz w:val="20"/>
          <w:szCs w:val="20"/>
          <w:highlight w:val="none"/>
          <w:lang w:val="en-US" w:eastAsia="zh-CN"/>
        </w:rPr>
        <w:t xml:space="preserve">unfortunately, there are no final outcomes. In addition to that, the </w:t>
      </w:r>
      <w:r>
        <w:rPr>
          <w:sz w:val="20"/>
          <w:szCs w:val="20"/>
          <w:highlight w:val="none"/>
        </w:rPr>
        <w:t>Measurement point for difference of relative phase/power error for UL coherent MIMO</w:t>
      </w:r>
      <w:r>
        <w:rPr>
          <w:rFonts w:hint="eastAsia"/>
          <w:sz w:val="20"/>
          <w:szCs w:val="20"/>
          <w:highlight w:val="none"/>
          <w:lang w:val="en-US" w:eastAsia="zh-CN"/>
        </w:rPr>
        <w:t xml:space="preserve"> are captured in both TS38.101-1 and TS38.101-2.</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eastAsia"/>
          <w:iCs/>
          <w:sz w:val="20"/>
          <w:szCs w:val="20"/>
          <w:highlight w:val="none"/>
          <w:lang w:val="en-US" w:eastAsia="zh-CN"/>
        </w:rPr>
      </w:pPr>
      <w:r>
        <w:rPr>
          <w:rFonts w:hint="eastAsia" w:ascii="Times New Roman" w:hAnsi="Times New Roman" w:cs="Times New Roman"/>
          <w:bCs/>
          <w:i w:val="0"/>
          <w:iCs/>
          <w:kern w:val="2"/>
          <w:sz w:val="20"/>
          <w:szCs w:val="20"/>
          <w:highlight w:val="none"/>
          <w:lang w:val="en-US" w:eastAsia="zh-CN" w:bidi="ar-SA"/>
        </w:rPr>
        <w:t xml:space="preserve">In our opinion, </w:t>
      </w:r>
      <w:r>
        <w:rPr>
          <w:rFonts w:hint="eastAsia"/>
          <w:b w:val="0"/>
          <w:bCs w:val="0"/>
          <w:sz w:val="20"/>
          <w:szCs w:val="20"/>
          <w:highlight w:val="none"/>
          <w:u w:val="none"/>
          <w:vertAlign w:val="baseline"/>
          <w:lang w:val="en-US" w:eastAsia="zh-CN"/>
        </w:rPr>
        <w:t xml:space="preserve">UL gaps </w:t>
      </w:r>
      <w:r>
        <w:rPr>
          <w:rFonts w:hint="eastAsia"/>
          <w:sz w:val="20"/>
          <w:szCs w:val="20"/>
          <w:highlight w:val="none"/>
          <w:lang w:val="en-US" w:eastAsia="zh-CN"/>
        </w:rPr>
        <w:t xml:space="preserve">for </w:t>
      </w:r>
      <w:r>
        <w:rPr>
          <w:iCs/>
          <w:sz w:val="20"/>
          <w:szCs w:val="20"/>
          <w:highlight w:val="none"/>
        </w:rPr>
        <w:t xml:space="preserve">coherence </w:t>
      </w:r>
      <w:r>
        <w:rPr>
          <w:rFonts w:hint="eastAsia"/>
          <w:b w:val="0"/>
          <w:bCs w:val="0"/>
          <w:sz w:val="20"/>
          <w:szCs w:val="20"/>
          <w:highlight w:val="none"/>
          <w:u w:val="none"/>
          <w:vertAlign w:val="baseline"/>
          <w:lang w:val="en-US" w:eastAsia="zh-CN"/>
        </w:rPr>
        <w:t xml:space="preserve">calibration to meet the relative phase and power requirement for coherent MIMO might be one feasible way similar as antenna calibration within AAS BS for the accurate beamforming steering since UE may not always do the calibration due to limitation of hardware. In this case, UE needs UL gap to conduct the internal calibration before PUSCH transmission to do the </w:t>
      </w:r>
      <w:r>
        <w:rPr>
          <w:iCs/>
          <w:sz w:val="20"/>
          <w:szCs w:val="20"/>
          <w:highlight w:val="none"/>
        </w:rPr>
        <w:t>phase</w:t>
      </w:r>
      <w:r>
        <w:rPr>
          <w:rFonts w:hint="eastAsia"/>
          <w:iCs/>
          <w:sz w:val="20"/>
          <w:szCs w:val="20"/>
          <w:highlight w:val="none"/>
          <w:lang w:val="en-US" w:eastAsia="zh-CN"/>
        </w:rPr>
        <w:t xml:space="preserve"> error adjustment. </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60" w:lineRule="auto"/>
        <w:ind w:leftChars="0" w:right="210" w:rightChars="100"/>
        <w:jc w:val="both"/>
        <w:textAlignment w:val="auto"/>
        <w:outlineLvl w:val="9"/>
        <w:rPr>
          <w:rFonts w:hint="eastAsia"/>
          <w:sz w:val="20"/>
          <w:szCs w:val="20"/>
          <w:highlight w:val="none"/>
          <w:lang w:val="en-US" w:eastAsia="zh-CN"/>
        </w:rPr>
      </w:pPr>
      <w:r>
        <w:rPr>
          <w:rFonts w:hint="eastAsia"/>
          <w:sz w:val="20"/>
          <w:szCs w:val="20"/>
          <w:highlight w:val="none"/>
          <w:lang w:val="en-US" w:eastAsia="zh-CN"/>
        </w:rPr>
        <w:t xml:space="preserve">For 6GR, we think the UL gap for </w:t>
      </w:r>
      <w:r>
        <w:rPr>
          <w:iCs/>
          <w:sz w:val="20"/>
          <w:szCs w:val="20"/>
          <w:highlight w:val="none"/>
        </w:rPr>
        <w:t xml:space="preserve">coherence </w:t>
      </w:r>
      <w:r>
        <w:rPr>
          <w:rFonts w:hint="eastAsia"/>
          <w:b w:val="0"/>
          <w:bCs w:val="0"/>
          <w:sz w:val="20"/>
          <w:szCs w:val="20"/>
          <w:highlight w:val="none"/>
          <w:u w:val="none"/>
          <w:vertAlign w:val="baseline"/>
          <w:lang w:val="en-US" w:eastAsia="zh-CN"/>
        </w:rPr>
        <w:t xml:space="preserve">calibration </w:t>
      </w:r>
      <w:r>
        <w:rPr>
          <w:rFonts w:hint="eastAsia"/>
          <w:sz w:val="20"/>
          <w:szCs w:val="20"/>
          <w:highlight w:val="none"/>
          <w:lang w:val="en-US" w:eastAsia="zh-CN"/>
        </w:rPr>
        <w:t xml:space="preserve">could be further discussed for FR1 to enable coherent UL MIMO feature for UL coverage improvement purpose.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val="0"/>
          <w:i w:val="0"/>
          <w:iCs/>
          <w:sz w:val="20"/>
          <w:szCs w:val="20"/>
          <w:highlight w:val="none"/>
          <w:lang w:val="en-US" w:eastAsia="zh-CN"/>
        </w:rPr>
      </w:pPr>
      <w:r>
        <w:rPr>
          <w:rFonts w:hint="eastAsia"/>
          <w:b/>
          <w:bCs w:val="0"/>
          <w:i w:val="0"/>
          <w:iCs/>
          <w:sz w:val="20"/>
          <w:szCs w:val="20"/>
          <w:highlight w:val="none"/>
          <w:lang w:val="en-US" w:eastAsia="zh-CN"/>
        </w:rPr>
        <w:t>Proposal 8: To meet the relative phase and power requirement for coherent UL MIMO, UL gap for coherence calibration could be further studied in 6GR if necessary.</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kern w:val="0"/>
          <w:sz w:val="20"/>
          <w:szCs w:val="20"/>
          <w:highlight w:val="none"/>
          <w:lang w:val="en-US" w:eastAsia="zh-CN"/>
        </w:rPr>
      </w:pPr>
      <w:r>
        <w:rPr>
          <w:rFonts w:hint="eastAsia" w:cs="Times New Roman"/>
          <w:b/>
          <w:bCs/>
          <w:i w:val="0"/>
          <w:iCs w:val="0"/>
          <w:kern w:val="0"/>
          <w:sz w:val="20"/>
          <w:szCs w:val="20"/>
          <w:highlight w:val="none"/>
          <w:lang w:val="en-US" w:eastAsia="zh-CN"/>
        </w:rPr>
        <w:t>2.3</w:t>
      </w:r>
      <w:r>
        <w:rPr>
          <w:rFonts w:hint="eastAsia" w:cs="Times New Roman"/>
          <w:b/>
          <w:bCs/>
          <w:i w:val="0"/>
          <w:iCs w:val="0"/>
          <w:kern w:val="0"/>
          <w:sz w:val="20"/>
          <w:szCs w:val="20"/>
          <w:highlight w:val="none"/>
          <w:lang w:val="en-US" w:eastAsia="zh-CN"/>
        </w:rPr>
        <w:tab/>
      </w:r>
      <w:r>
        <w:rPr>
          <w:rFonts w:hint="eastAsia" w:cs="Times New Roman"/>
          <w:b/>
          <w:bCs/>
          <w:i w:val="0"/>
          <w:iCs w:val="0"/>
          <w:kern w:val="0"/>
          <w:sz w:val="20"/>
          <w:szCs w:val="20"/>
          <w:highlight w:val="none"/>
          <w:lang w:val="en-US" w:eastAsia="zh-CN"/>
        </w:rPr>
        <w:t xml:space="preserve">UE RF requirements improvement and/or simplification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eastAsia"/>
          <w:b/>
          <w:bCs/>
          <w:sz w:val="20"/>
          <w:szCs w:val="20"/>
          <w:highlight w:val="none"/>
          <w:u w:val="single"/>
          <w:lang w:val="en-US" w:eastAsia="zh-CN"/>
        </w:rPr>
      </w:pPr>
      <w:r>
        <w:rPr>
          <w:rFonts w:hint="eastAsia"/>
          <w:b/>
          <w:bCs/>
          <w:sz w:val="20"/>
          <w:szCs w:val="20"/>
          <w:highlight w:val="none"/>
          <w:u w:val="single"/>
          <w:lang w:val="en-US" w:eastAsia="zh-CN"/>
        </w:rPr>
        <w:t>2.3.1 MPR/A-MPR improvement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highlight w:val="none"/>
          <w:lang w:val="en-US" w:eastAsia="zh-CN"/>
        </w:rPr>
      </w:pPr>
      <w:r>
        <w:rPr>
          <w:rFonts w:hint="eastAsia" w:cs="Times New Roman"/>
          <w:kern w:val="0"/>
          <w:sz w:val="20"/>
          <w:highlight w:val="none"/>
          <w:lang w:val="en-US" w:eastAsia="zh-CN"/>
        </w:rPr>
        <w:t xml:space="preserve">According to the 6GR SID[1], 6G is required to enhance UL coverage and cell-edge performance. It is no doubt that higher uplink transmit power is helpful on uplink coverage enhancement, and some uplink coverage improvement topics were discussed in 5G NR. However, UE is power-limited, which means UE is not allowed to always transmit maximum output power because of the limitations of ACLR, SEM, IBE and EVM requirements. Power backoff is an efficient way adopted by a UE to address the emissions and distortions caused by PA non-linearity characteristic in order to guarantee UE can meet the emission and EVM requirements. Especially for high-order modulation with CP-OFDM waveform, the PAPR is high and </w:t>
      </w:r>
      <w:r>
        <w:rPr>
          <w:sz w:val="20"/>
          <w:highlight w:val="none"/>
          <w:lang w:val="en-US"/>
        </w:rPr>
        <w:t xml:space="preserve">the </w:t>
      </w:r>
      <w:r>
        <w:rPr>
          <w:rFonts w:hint="eastAsia"/>
          <w:sz w:val="20"/>
          <w:highlight w:val="none"/>
          <w:lang w:val="en-US" w:eastAsia="zh-CN"/>
        </w:rPr>
        <w:t xml:space="preserve">UE </w:t>
      </w:r>
      <w:r>
        <w:rPr>
          <w:sz w:val="20"/>
          <w:highlight w:val="none"/>
          <w:lang w:val="en-US"/>
        </w:rPr>
        <w:t>output power need</w:t>
      </w:r>
      <w:r>
        <w:rPr>
          <w:rFonts w:hint="eastAsia"/>
          <w:sz w:val="20"/>
          <w:highlight w:val="none"/>
          <w:lang w:val="en-US" w:eastAsia="zh-CN"/>
        </w:rPr>
        <w:t>s</w:t>
      </w:r>
      <w:r>
        <w:rPr>
          <w:sz w:val="20"/>
          <w:highlight w:val="none"/>
          <w:lang w:val="en-US"/>
        </w:rPr>
        <w:t xml:space="preserve"> to be backed off</w:t>
      </w:r>
      <w:r>
        <w:rPr>
          <w:rFonts w:hint="eastAsia" w:cs="Times New Roman"/>
          <w:kern w:val="0"/>
          <w:sz w:val="20"/>
          <w:highlight w:val="none"/>
          <w:lang w:val="en-US" w:eastAsia="zh-CN"/>
        </w:rPr>
        <w:t xml:space="preserve"> a lot, more power back-off means more coverage is shrunk.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 xml:space="preserve">Therefore, MPR/A-MPR improvement can be one of the critical methods to enhance uplink coverage in 6GR study.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As discussed in RAN1#122 meeting, RAN1 agreed to take 5G NR CP-OFDM and DFT-s-OFDM waveform as 6GR waveform basis and consider enhancements/modifications on CP-OFDM and DFT-s-OFDM to further reduce the PAPR of the uplink signal. Further reduced PAPR allows efficient utilization of PAs and provides possibility to reduce MPR/A-MPR.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cs="Times New Roman"/>
                <w:kern w:val="0"/>
                <w:sz w:val="20"/>
                <w:szCs w:val="20"/>
                <w:highlight w:val="none"/>
                <w:lang w:val="en-US" w:eastAsia="zh-CN"/>
              </w:rPr>
            </w:pPr>
            <w:r>
              <w:rPr>
                <w:rFonts w:hint="eastAsia" w:cs="Times New Roman"/>
                <w:kern w:val="0"/>
                <w:sz w:val="20"/>
                <w:szCs w:val="20"/>
                <w:highlight w:val="none"/>
                <w:lang w:val="en-US" w:eastAsia="en-US"/>
              </w:rPr>
              <w:t>Agreement</w:t>
            </w:r>
            <w:r>
              <w:rPr>
                <w:rFonts w:hint="eastAsia" w:cs="Times New Roman"/>
                <w:kern w:val="0"/>
                <w:sz w:val="20"/>
                <w:szCs w:val="20"/>
                <w:highlight w:val="none"/>
                <w:lang w:val="en-US" w:eastAsia="zh-CN"/>
              </w:rPr>
              <w:t xml:space="preserve"> in RAN1#122 meeting:</w:t>
            </w:r>
          </w:p>
          <w:p>
            <w:pPr>
              <w:keepNext w:val="0"/>
              <w:keepLines w:val="0"/>
              <w:pageBreakBefore w:val="0"/>
              <w:widowControl w:val="0"/>
              <w:kinsoku/>
              <w:wordWrap/>
              <w:overflowPunct w:val="0"/>
              <w:topLinePunct w:val="0"/>
              <w:autoSpaceDE w:val="0"/>
              <w:autoSpaceDN w:val="0"/>
              <w:bidi w:val="0"/>
              <w:adjustRightInd w:val="0"/>
              <w:spacing w:after="180"/>
              <w:jc w:val="both"/>
              <w:textAlignment w:val="baseline"/>
              <w:rPr>
                <w:rFonts w:ascii="Times New Roman" w:hAnsi="Times New Roman" w:eastAsia="Times New Roman"/>
                <w:sz w:val="20"/>
                <w:szCs w:val="20"/>
                <w:highlight w:val="none"/>
              </w:rPr>
            </w:pPr>
            <w:r>
              <w:rPr>
                <w:rFonts w:ascii="Times New Roman" w:hAnsi="Times New Roman" w:eastAsia="Times New Roman"/>
                <w:sz w:val="20"/>
                <w:szCs w:val="20"/>
                <w:highlight w:val="none"/>
              </w:rPr>
              <w:t xml:space="preserve">CP-OFDM </w:t>
            </w:r>
            <w:r>
              <w:rPr>
                <w:rFonts w:hint="eastAsia" w:ascii="Times New Roman" w:hAnsi="Times New Roman" w:eastAsia="Times New Roman"/>
                <w:sz w:val="20"/>
                <w:szCs w:val="20"/>
                <w:highlight w:val="none"/>
              </w:rPr>
              <w:t>and</w:t>
            </w:r>
            <w:r>
              <w:rPr>
                <w:rFonts w:ascii="Times New Roman" w:hAnsi="Times New Roman" w:eastAsia="Times New Roman"/>
                <w:sz w:val="20"/>
                <w:szCs w:val="20"/>
                <w:highlight w:val="none"/>
              </w:rPr>
              <w:t xml:space="preserve"> DFT-s-OFDM waveforms as defined in 5G NR </w:t>
            </w:r>
            <w:r>
              <w:rPr>
                <w:rFonts w:hint="eastAsia" w:ascii="Times New Roman" w:hAnsi="Times New Roman" w:eastAsia="Times New Roman"/>
                <w:sz w:val="20"/>
                <w:szCs w:val="20"/>
                <w:highlight w:val="none"/>
              </w:rPr>
              <w:t xml:space="preserve">are supported as the basis </w:t>
            </w:r>
            <w:r>
              <w:rPr>
                <w:rFonts w:ascii="Times New Roman" w:hAnsi="Times New Roman" w:eastAsia="Times New Roman"/>
                <w:sz w:val="20"/>
                <w:szCs w:val="20"/>
                <w:highlight w:val="none"/>
              </w:rPr>
              <w:t>for 6GR for uplink</w:t>
            </w:r>
          </w:p>
          <w:p>
            <w:pPr>
              <w:pStyle w:val="33"/>
              <w:keepNext w:val="0"/>
              <w:keepLines w:val="0"/>
              <w:pageBreakBefore w:val="0"/>
              <w:widowControl w:val="0"/>
              <w:numPr>
                <w:ilvl w:val="0"/>
                <w:numId w:val="10"/>
              </w:numPr>
              <w:kinsoku/>
              <w:wordWrap/>
              <w:overflowPunct w:val="0"/>
              <w:topLinePunct w:val="0"/>
              <w:autoSpaceDE w:val="0"/>
              <w:autoSpaceDN w:val="0"/>
              <w:bidi w:val="0"/>
              <w:adjustRightInd w:val="0"/>
              <w:spacing w:after="180"/>
              <w:ind w:leftChars="0"/>
              <w:contextualSpacing/>
              <w:jc w:val="both"/>
              <w:textAlignment w:val="baseline"/>
              <w:rPr>
                <w:rFonts w:ascii="Times New Roman" w:hAnsi="Times New Roman" w:eastAsia="Times New Roman"/>
                <w:sz w:val="20"/>
                <w:szCs w:val="20"/>
                <w:highlight w:val="none"/>
                <w:lang w:eastAsia="en-US"/>
              </w:rPr>
            </w:pPr>
            <w:r>
              <w:rPr>
                <w:rFonts w:ascii="Times New Roman" w:hAnsi="Times New Roman" w:eastAsia="Times New Roman"/>
                <w:sz w:val="20"/>
                <w:szCs w:val="20"/>
                <w:highlight w:val="none"/>
                <w:lang w:eastAsia="en-US"/>
              </w:rPr>
              <w:t>Enhancements/modifications on CP-OFDM/DFT-s-OFDM will be studied as potential additions</w:t>
            </w:r>
          </w:p>
          <w:p>
            <w:pPr>
              <w:pStyle w:val="33"/>
              <w:keepNext w:val="0"/>
              <w:keepLines w:val="0"/>
              <w:pageBreakBefore w:val="0"/>
              <w:widowControl w:val="0"/>
              <w:numPr>
                <w:ilvl w:val="0"/>
                <w:numId w:val="10"/>
              </w:numPr>
              <w:kinsoku/>
              <w:wordWrap/>
              <w:overflowPunct w:val="0"/>
              <w:topLinePunct w:val="0"/>
              <w:autoSpaceDE w:val="0"/>
              <w:autoSpaceDN w:val="0"/>
              <w:bidi w:val="0"/>
              <w:adjustRightInd w:val="0"/>
              <w:spacing w:after="180"/>
              <w:ind w:leftChars="0"/>
              <w:contextualSpacing/>
              <w:jc w:val="both"/>
              <w:textAlignment w:val="baseline"/>
              <w:rPr>
                <w:rFonts w:hint="default" w:cs="Times New Roman"/>
                <w:kern w:val="0"/>
                <w:sz w:val="20"/>
                <w:szCs w:val="20"/>
                <w:highlight w:val="none"/>
                <w:vertAlign w:val="baseline"/>
                <w:lang w:val="en-US" w:eastAsia="zh-CN"/>
              </w:rPr>
            </w:pPr>
            <w:r>
              <w:rPr>
                <w:rFonts w:hint="eastAsia" w:ascii="Times New Roman" w:hAnsi="Times New Roman" w:eastAsia="Times New Roman"/>
                <w:sz w:val="20"/>
                <w:szCs w:val="20"/>
                <w:highlight w:val="none"/>
                <w:lang w:eastAsia="en-US"/>
              </w:rPr>
              <w:t>Other OFDM based waveforms are not precluded.</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Observation 7: RAN1 agreed to take 5G NR CP-OFDM and DFT-s-OFDM as 6GR waveform basis and consider enhancements/modifications on CP-OFDM and DFT-s-OFDM to further reduce the PAPR of the uplink signal, which provides possibility to reduce MPR/A-MPR.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highlight w:val="none"/>
          <w:lang w:val="en-US" w:eastAsia="zh-CN"/>
        </w:rPr>
      </w:pPr>
      <w:r>
        <w:rPr>
          <w:rFonts w:hint="eastAsia" w:cs="Times New Roman"/>
          <w:kern w:val="0"/>
          <w:sz w:val="20"/>
          <w:highlight w:val="none"/>
          <w:lang w:val="en-US" w:eastAsia="zh-CN"/>
        </w:rPr>
        <w:t>In the beginning of 5G NR FR1 discussion, some of the RF parameters assumptions like PA model and IQ image/carrier leakage in MPR/A-MPR studies were reused from LTE.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highlight w:val="none"/>
          <w:lang w:val="en-US" w:eastAsia="zh-CN"/>
          <w14:textFill>
            <w14:solidFill>
              <w14:schemeClr w14:val="tx1"/>
            </w14:solidFill>
          </w14:textFill>
        </w:rPr>
      </w:pPr>
      <w:r>
        <w:rPr>
          <w:rFonts w:hint="eastAsia" w:cs="Times New Roman"/>
          <w:kern w:val="0"/>
          <w:sz w:val="20"/>
          <w:highlight w:val="none"/>
          <w:lang w:val="en-US" w:eastAsia="zh-CN"/>
        </w:rPr>
        <w:t xml:space="preserve">On the one hand, MPR and A-MPR requirements are derived from simulation based on 1dB PA calibration point and reference waveform, i.e., </w:t>
      </w:r>
      <w:r>
        <w:rPr>
          <w:rFonts w:hint="default" w:cs="Times New Roman"/>
          <w:kern w:val="0"/>
          <w:sz w:val="20"/>
          <w:highlight w:val="none"/>
          <w:lang w:val="en-US" w:eastAsia="zh-CN"/>
        </w:rPr>
        <w:t>“</w:t>
      </w:r>
      <w:r>
        <w:rPr>
          <w:rFonts w:hint="eastAsia" w:cs="Times New Roman"/>
          <w:kern w:val="0"/>
          <w:sz w:val="20"/>
          <w:highlight w:val="none"/>
          <w:lang w:val="en-US" w:eastAsia="zh-CN"/>
        </w:rPr>
        <w:t>1dB MPR for waveform with CBW=20MHz, SCS=15kHz, QPSK, DFT-s-OFDM, 100RB0</w:t>
      </w:r>
      <w:r>
        <w:rPr>
          <w:rFonts w:hint="default" w:cs="Times New Roman"/>
          <w:kern w:val="0"/>
          <w:sz w:val="20"/>
          <w:highlight w:val="none"/>
          <w:lang w:val="en-US" w:eastAsia="zh-CN"/>
        </w:rPr>
        <w:t>”</w:t>
      </w:r>
      <w:r>
        <w:rPr>
          <w:rFonts w:hint="eastAsia" w:cs="Times New Roman"/>
          <w:kern w:val="0"/>
          <w:sz w:val="20"/>
          <w:highlight w:val="none"/>
          <w:lang w:val="en-US" w:eastAsia="zh-CN"/>
        </w:rPr>
        <w:t>. With the experience of some topics at the later stage of 5G NR, the LTE PA model is not suitable anymore, and some companies have already used their own PA model assumptions for the MPR/A-MPR requirements evaluation. Frankly speaking, the MPR/A-MPR requirements of high order modulations a little bit high in the specification, especially for the high power UE. This PA calibration point may not be feasible for 6GR MPR evaluation if we want to reduce MPR.</w:t>
      </w:r>
      <w:r>
        <w:rPr>
          <w:rFonts w:hint="eastAsia"/>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Besides, in contrast</w:t>
      </w:r>
      <w:r>
        <w:rPr>
          <w:rFonts w:hint="eastAsia" w:cs="Times New Roman"/>
          <w:b w:val="0"/>
          <w:bCs w:val="0"/>
          <w:kern w:val="0"/>
          <w:sz w:val="20"/>
          <w:szCs w:val="20"/>
          <w:highlight w:val="none"/>
          <w:lang w:val="en-US" w:eastAsia="zh-CN"/>
        </w:rPr>
        <w:t xml:space="preserve"> to the maximum 100MHz CBW in FR1 of 5G NR, 6GR is going to introduce w</w:t>
      </w:r>
      <w:r>
        <w:rPr>
          <w:color w:val="000000" w:themeColor="text1"/>
          <w:sz w:val="20"/>
          <w:szCs w:val="20"/>
          <w:highlight w:val="none"/>
          <w14:textFill>
            <w14:solidFill>
              <w14:schemeClr w14:val="tx1"/>
            </w14:solidFill>
          </w14:textFill>
        </w:rPr>
        <w:t xml:space="preserve">ider </w:t>
      </w:r>
      <w:r>
        <w:rPr>
          <w:rFonts w:hint="eastAsia"/>
          <w:color w:val="000000" w:themeColor="text1"/>
          <w:sz w:val="20"/>
          <w:szCs w:val="20"/>
          <w:highlight w:val="none"/>
          <w:lang w:val="en-US" w:eastAsia="zh-CN"/>
          <w14:textFill>
            <w14:solidFill>
              <w14:schemeClr w14:val="tx1"/>
            </w14:solidFill>
          </w14:textFill>
        </w:rPr>
        <w:t>CBW</w:t>
      </w:r>
      <w:r>
        <w:rPr>
          <w:color w:val="000000" w:themeColor="text1"/>
          <w:sz w:val="20"/>
          <w:szCs w:val="20"/>
          <w:highlight w:val="none"/>
          <w14:textFill>
            <w14:solidFill>
              <w14:schemeClr w14:val="tx1"/>
            </w14:solidFill>
          </w14:textFill>
        </w:rPr>
        <w:t xml:space="preserve"> (at least 200MHz) support for 6G deployments at least above 2GHz, around 7GHz</w:t>
      </w:r>
      <w:r>
        <w:rPr>
          <w:rFonts w:hint="eastAsia"/>
          <w:color w:val="000000" w:themeColor="text1"/>
          <w:sz w:val="20"/>
          <w:szCs w:val="20"/>
          <w:highlight w:val="none"/>
          <w:lang w:val="en-US" w:eastAsia="zh-CN"/>
          <w14:textFill>
            <w14:solidFill>
              <w14:schemeClr w14:val="tx1"/>
            </w14:solidFill>
          </w14:textFill>
        </w:rPr>
        <w:t>[1]. PA non-linearity could be very different due to non-negligible memory effect caused by wider CBW.</w:t>
      </w:r>
      <w:r>
        <w:rPr>
          <w:rFonts w:hint="eastAsia"/>
          <w:sz w:val="20"/>
          <w:highlight w:val="none"/>
          <w:lang w:val="en-US" w:eastAsia="zh-CN"/>
        </w:rPr>
        <w:t xml:space="preserve"> Moreover, the PA model in LTE phase was based on low frequency range, it would not appropriate for higher frequency range such as round 7GHz. </w:t>
      </w:r>
      <w:r>
        <w:rPr>
          <w:rFonts w:hint="eastAsia" w:cs="Times New Roman"/>
          <w:kern w:val="0"/>
          <w:sz w:val="20"/>
          <w:highlight w:val="none"/>
          <w:lang w:val="en-US" w:eastAsia="zh-CN"/>
        </w:rPr>
        <w:t>Therefore, we think new PA models for 6GR MPR evaluation should be discussed.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highlight w:val="none"/>
          <w:lang w:val="en-US" w:eastAsia="zh-CN"/>
        </w:rPr>
      </w:pPr>
      <w:r>
        <w:rPr>
          <w:rFonts w:hint="eastAsia" w:cs="Times New Roman"/>
          <w:kern w:val="0"/>
          <w:sz w:val="20"/>
          <w:highlight w:val="none"/>
          <w:lang w:val="en-US" w:eastAsia="zh-CN"/>
        </w:rPr>
        <w:t>On the other hand, MPR simulation assumptions in 5G NR are -28dB IQ image and -28dBc carrier leakage, which are also reused from LTE. However, in the reality design, the practical IQ image and carrier leakage can both achieve -35dB/dBc which are far better values than the existing assumptions. With the experience of FR2 256QAM discussions, better IQ image and carrier leakage can contribute to better MPR requirements, especially for high-order modulation whose EVM is highly impacted by IQ image and carrier leakage.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Observation 8: PA model/calibration point, reference waveform, IQ image and carrier leakage in 5G NR are reused from LTE, which may not be feasible for 6GR.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Proposal 9: New PA models as well as improved IQ image and carrier leakage requirements should be discussed for 6GR MPR /AMPR evaluation.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With all of the analysis above, we see great potential to improve MPR/A-MPR requirements on top of 5G NR MPR/A-MPR. Therefore, we did some preliminary simulation based on improved IQ image, carrier leakage and PA linearity. Take the MPR evaluation for 16QAM and 64QAM with DFT-s-OFDM and CP-OFDM shown in Figure 2.3.1-1 and Figure 2.3.1-2 as an example.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highlight w:val="none"/>
        </w:rPr>
      </w:pPr>
      <w:r>
        <w:rPr>
          <w:highlight w:val="none"/>
        </w:rPr>
        <w:drawing>
          <wp:inline distT="0" distB="0" distL="114300" distR="114300">
            <wp:extent cx="2677160" cy="2225040"/>
            <wp:effectExtent l="0" t="0" r="5080" b="0"/>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pic:cNvPicPr>
                      <a:picLocks noChangeAspect="1"/>
                    </pic:cNvPicPr>
                  </pic:nvPicPr>
                  <pic:blipFill>
                    <a:blip r:embed="rId16"/>
                    <a:stretch>
                      <a:fillRect/>
                    </a:stretch>
                  </pic:blipFill>
                  <pic:spPr>
                    <a:xfrm>
                      <a:off x="0" y="0"/>
                      <a:ext cx="2677160" cy="2225040"/>
                    </a:xfrm>
                    <a:prstGeom prst="rect">
                      <a:avLst/>
                    </a:prstGeom>
                    <a:noFill/>
                    <a:ln>
                      <a:noFill/>
                    </a:ln>
                  </pic:spPr>
                </pic:pic>
              </a:graphicData>
            </a:graphic>
          </wp:inline>
        </w:drawing>
      </w:r>
      <w:r>
        <w:rPr>
          <w:rFonts w:hint="eastAsia"/>
          <w:highlight w:val="none"/>
          <w:lang w:val="en-US" w:eastAsia="zh-CN"/>
        </w:rPr>
        <w:t xml:space="preserve"> </w:t>
      </w:r>
      <w:r>
        <w:rPr>
          <w:highlight w:val="none"/>
        </w:rPr>
        <w:drawing>
          <wp:inline distT="0" distB="0" distL="114300" distR="114300">
            <wp:extent cx="2620645" cy="2175510"/>
            <wp:effectExtent l="0" t="0" r="635" b="381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
                    <pic:cNvPicPr>
                      <a:picLocks noChangeAspect="1"/>
                    </pic:cNvPicPr>
                  </pic:nvPicPr>
                  <pic:blipFill>
                    <a:blip r:embed="rId17"/>
                    <a:stretch>
                      <a:fillRect/>
                    </a:stretch>
                  </pic:blipFill>
                  <pic:spPr>
                    <a:xfrm>
                      <a:off x="0" y="0"/>
                      <a:ext cx="2620645" cy="2175510"/>
                    </a:xfrm>
                    <a:prstGeom prst="rect">
                      <a:avLst/>
                    </a:prstGeom>
                    <a:noFill/>
                    <a:ln>
                      <a:noFill/>
                    </a:ln>
                  </pic:spPr>
                </pic:pic>
              </a:graphicData>
            </a:graphic>
          </wp:inline>
        </w:drawing>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b/>
          <w:bCs/>
          <w:sz w:val="20"/>
          <w:szCs w:val="18"/>
          <w:highlight w:val="none"/>
          <w:lang w:val="en-US" w:eastAsia="zh-CN"/>
        </w:rPr>
      </w:pPr>
      <w:r>
        <w:rPr>
          <w:rFonts w:hint="eastAsia"/>
          <w:b/>
          <w:bCs/>
          <w:sz w:val="20"/>
          <w:szCs w:val="18"/>
          <w:highlight w:val="none"/>
          <w:lang w:val="en-US" w:eastAsia="zh-CN"/>
        </w:rPr>
        <w:t>Figure 2.3.1-1  MPR of 16QAM with DFT-s-OFDM and CP-OFDM</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highlight w:val="none"/>
        </w:rPr>
      </w:pPr>
      <w:r>
        <w:rPr>
          <w:highlight w:val="none"/>
        </w:rPr>
        <w:drawing>
          <wp:inline distT="0" distB="0" distL="114300" distR="114300">
            <wp:extent cx="2679700" cy="2171065"/>
            <wp:effectExtent l="0" t="0" r="2540" b="8255"/>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8"/>
                    <a:stretch>
                      <a:fillRect/>
                    </a:stretch>
                  </pic:blipFill>
                  <pic:spPr>
                    <a:xfrm>
                      <a:off x="0" y="0"/>
                      <a:ext cx="2679700" cy="2171065"/>
                    </a:xfrm>
                    <a:prstGeom prst="rect">
                      <a:avLst/>
                    </a:prstGeom>
                    <a:noFill/>
                    <a:ln>
                      <a:noFill/>
                    </a:ln>
                  </pic:spPr>
                </pic:pic>
              </a:graphicData>
            </a:graphic>
          </wp:inline>
        </w:drawing>
      </w:r>
      <w:r>
        <w:rPr>
          <w:rFonts w:hint="eastAsia"/>
          <w:highlight w:val="none"/>
          <w:lang w:val="en-US" w:eastAsia="zh-CN"/>
        </w:rPr>
        <w:t xml:space="preserve"> </w:t>
      </w:r>
      <w:r>
        <w:rPr>
          <w:highlight w:val="none"/>
        </w:rPr>
        <w:drawing>
          <wp:inline distT="0" distB="0" distL="114300" distR="114300">
            <wp:extent cx="2622550" cy="2174875"/>
            <wp:effectExtent l="0" t="0" r="13970" b="4445"/>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9"/>
                    <a:stretch>
                      <a:fillRect/>
                    </a:stretch>
                  </pic:blipFill>
                  <pic:spPr>
                    <a:xfrm>
                      <a:off x="0" y="0"/>
                      <a:ext cx="2622550" cy="2174875"/>
                    </a:xfrm>
                    <a:prstGeom prst="rect">
                      <a:avLst/>
                    </a:prstGeom>
                    <a:noFill/>
                    <a:ln>
                      <a:noFill/>
                    </a:ln>
                  </pic:spPr>
                </pic:pic>
              </a:graphicData>
            </a:graphic>
          </wp:inline>
        </w:drawing>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b/>
          <w:bCs/>
          <w:sz w:val="20"/>
          <w:szCs w:val="18"/>
          <w:highlight w:val="none"/>
          <w:lang w:val="en-US" w:eastAsia="zh-CN"/>
        </w:rPr>
      </w:pPr>
      <w:r>
        <w:rPr>
          <w:rFonts w:hint="eastAsia"/>
          <w:b/>
          <w:bCs/>
          <w:sz w:val="20"/>
          <w:szCs w:val="18"/>
          <w:highlight w:val="none"/>
          <w:lang w:val="en-US" w:eastAsia="zh-CN"/>
        </w:rPr>
        <w:t>Figure 2.3.2-2  MPR of 64QAM with DFT-s-OFDM and CP-OFDM</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szCs w:val="20"/>
          <w:highlight w:val="none"/>
          <w:lang w:val="en-US" w:eastAsia="zh-CN"/>
        </w:rPr>
      </w:pPr>
      <w:r>
        <w:rPr>
          <w:rFonts w:hint="eastAsia" w:cs="Times New Roman"/>
          <w:kern w:val="0"/>
          <w:sz w:val="20"/>
          <w:highlight w:val="none"/>
          <w:lang w:val="en-US" w:eastAsia="zh-CN"/>
        </w:rPr>
        <w:t>Although the simulation results are not that accurate because first of all RAN4 needs to align simulation parameters and assumptions, we can see great potential to reduce MPR values and infer some possible directions for MPR/A-MPR improvement: First, compared to 5G NR, the MPR values could be further reduc</w:t>
      </w:r>
      <w:r>
        <w:rPr>
          <w:rFonts w:hint="eastAsia" w:cs="Times New Roman"/>
          <w:b w:val="0"/>
          <w:bCs w:val="0"/>
          <w:kern w:val="0"/>
          <w:sz w:val="20"/>
          <w:highlight w:val="none"/>
          <w:lang w:val="en-US" w:eastAsia="zh-CN"/>
        </w:rPr>
        <w:t>ed. Secon</w:t>
      </w:r>
      <w:r>
        <w:rPr>
          <w:rFonts w:hint="eastAsia" w:cs="Times New Roman"/>
          <w:kern w:val="0"/>
          <w:sz w:val="20"/>
          <w:highlight w:val="none"/>
          <w:lang w:val="en-US" w:eastAsia="zh-CN"/>
        </w:rPr>
        <w:t xml:space="preserve">d, </w:t>
      </w:r>
      <w:r>
        <w:rPr>
          <w:rFonts w:hint="eastAsia" w:cs="Times New Roman"/>
          <w:b w:val="0"/>
          <w:bCs w:val="0"/>
          <w:kern w:val="0"/>
          <w:sz w:val="20"/>
          <w:highlight w:val="none"/>
          <w:lang w:val="en-US" w:eastAsia="zh-CN"/>
        </w:rPr>
        <w:t xml:space="preserve">the overall RB allocation range could be redivided, at least </w:t>
      </w:r>
      <w:r>
        <w:rPr>
          <w:rFonts w:hint="eastAsia" w:cs="Times New Roman"/>
          <w:kern w:val="0"/>
          <w:sz w:val="20"/>
          <w:highlight w:val="none"/>
          <w:lang w:val="en-US" w:eastAsia="zh-CN"/>
        </w:rPr>
        <w:t>inner RB allocation range could be further enlarged.</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 xml:space="preserve">Proposal 10: To discuss how to redivide the overall RB allocation range for 6GR MPR on the top of the 5G NR MPR RB regions.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b/>
          <w:bCs/>
          <w:sz w:val="20"/>
          <w:szCs w:val="20"/>
          <w:highlight w:val="none"/>
          <w:u w:val="single"/>
          <w:lang w:val="en-US" w:eastAsia="zh-CN"/>
        </w:rPr>
      </w:pPr>
      <w:r>
        <w:rPr>
          <w:rFonts w:hint="eastAsia"/>
          <w:b/>
          <w:bCs/>
          <w:sz w:val="20"/>
          <w:szCs w:val="20"/>
          <w:highlight w:val="none"/>
          <w:u w:val="single"/>
          <w:lang w:val="en-US" w:eastAsia="zh-CN"/>
        </w:rPr>
        <w:t>2.3.2 Tx EVM improvement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highlight w:val="none"/>
          <w:lang w:val="en-US" w:eastAsia="zh-CN"/>
        </w:rPr>
      </w:pPr>
      <w:r>
        <w:rPr>
          <w:rFonts w:hint="eastAsia" w:cs="Times New Roman"/>
          <w:kern w:val="0"/>
          <w:sz w:val="20"/>
          <w:highlight w:val="none"/>
          <w:lang w:val="en-US" w:eastAsia="zh-CN"/>
        </w:rPr>
        <w:t>When evaluating the MPR for high-order modulation, such as 256QAM, we can find that the limiting factor of MPR is EVM. In order to satisfy 3.5% EVM requirement of 256QAM, much power backoff is needed to mitigate the distortion caused by PA non-linearity and the UL coverage is very limited. Currently in 5G NR, some advanced signal processing techniques to mitigate nonlinear distortions such as DPD have been mature and well-implemented.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highlight w:val="none"/>
          <w:lang w:val="en-US" w:eastAsia="zh-CN"/>
        </w:rPr>
      </w:pPr>
      <w:r>
        <w:rPr>
          <w:rFonts w:hint="eastAsia" w:cs="Times New Roman"/>
          <w:kern w:val="0"/>
          <w:sz w:val="20"/>
          <w:highlight w:val="none"/>
          <w:lang w:val="en-US" w:eastAsia="zh-CN"/>
        </w:rPr>
        <w:t>Poor EVM requires high SNR. In short, higher-order modulation would significantly reduce UL coverage and cell edge performance due to the UL transmit power would be low and also it demands high SNR. Once a UE moves away from the NW, then the path loss would increase, the high order modulation may drop to maintain a reliable connection.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Thus, in order to leverage the high order modulation benefit, relax EVM restriction to relax MPR would In terms of the discussion, the key point for relaxing Tx EVM is to use more effective mechanism to compensate the Tx non-linear distortion. The mechanism includes AI (</w:t>
      </w:r>
      <w:r>
        <w:rPr>
          <w:rFonts w:hint="eastAsia" w:cs="Times New Roman"/>
          <w:kern w:val="0"/>
          <w:sz w:val="20"/>
          <w:highlight w:val="none"/>
          <w:lang w:val="en-US" w:eastAsia="en-GB"/>
        </w:rPr>
        <w:t>artificial intelligence</w:t>
      </w:r>
      <w:r>
        <w:rPr>
          <w:rFonts w:hint="eastAsia" w:cs="Times New Roman"/>
          <w:kern w:val="0"/>
          <w:sz w:val="20"/>
          <w:highlight w:val="none"/>
          <w:lang w:val="en-US" w:eastAsia="zh-CN"/>
        </w:rPr>
        <w:t>)</w:t>
      </w:r>
      <w:r>
        <w:rPr>
          <w:rFonts w:hint="eastAsia" w:cs="Times New Roman"/>
          <w:kern w:val="0"/>
          <w:sz w:val="20"/>
          <w:highlight w:val="none"/>
          <w:lang w:val="en-US" w:eastAsia="en-GB"/>
        </w:rPr>
        <w:t xml:space="preserve"> </w:t>
      </w:r>
      <w:r>
        <w:rPr>
          <w:rFonts w:hint="eastAsia" w:cs="Times New Roman"/>
          <w:kern w:val="0"/>
          <w:sz w:val="20"/>
          <w:highlight w:val="none"/>
          <w:lang w:val="en-US" w:eastAsia="zh-CN"/>
        </w:rPr>
        <w:t>based BS receiver and non-AI based BS receiver.</w:t>
      </w:r>
    </w:p>
    <w:p>
      <w:pPr>
        <w:pStyle w:val="33"/>
        <w:keepNext w:val="0"/>
        <w:keepLines w:val="0"/>
        <w:pageBreakBefore w:val="0"/>
        <w:widowControl w:val="0"/>
        <w:numPr>
          <w:ilvl w:val="-1"/>
          <w:numId w:val="0"/>
        </w:numPr>
        <w:kinsoku/>
        <w:wordWrap/>
        <w:topLinePunct w:val="0"/>
        <w:bidi w:val="0"/>
        <w:ind w:left="0" w:firstLine="0" w:firstLineChars="0"/>
        <w:jc w:val="both"/>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 xml:space="preserve">This topic was also discussed in 5G-Adv and 6GR, and it should focus on high order modulation such as 64QAM and 256QAM. The scope for 5G-Adv will be further discussed under 6GR agenda item. Also, it is clear that </w:t>
      </w:r>
      <w:r>
        <w:rPr>
          <w:rFonts w:ascii="Times New Roman" w:hAnsi="Times New Roman" w:cs="Times New Roman"/>
          <w:sz w:val="20"/>
          <w:szCs w:val="20"/>
        </w:rPr>
        <w:t>5G-Adv solution should not be AI based and there should not be any impact to RAN1</w:t>
      </w:r>
      <w:r>
        <w:rPr>
          <w:rFonts w:hint="eastAsia" w:ascii="Times New Roman" w:hAnsi="Times New Roman" w:eastAsia="宋体" w:cs="Times New Roman"/>
          <w:sz w:val="20"/>
          <w:szCs w:val="20"/>
          <w:lang w:val="en-US" w:eastAsia="zh-CN"/>
        </w:rPr>
        <w:t xml:space="preserve">, and for 6GR, AI-based </w:t>
      </w:r>
      <w:r>
        <w:rPr>
          <w:rFonts w:hint="eastAsia" w:cs="Times New Roman"/>
          <w:kern w:val="0"/>
          <w:sz w:val="20"/>
          <w:szCs w:val="20"/>
          <w:highlight w:val="none"/>
          <w:lang w:val="en-US" w:eastAsia="zh-CN"/>
        </w:rPr>
        <w:t>BS receiver will be assumed.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No matter for 5G-Adv and 6GR Tx EVM relaxation, we think the common issue is that the non-linearity issue from UE transmitter side should be investigated first including the appropriate PA models including memory effect caused by wider channel bandwidth, IQ image, carrier leakage etc; In addition to that, the BS implementation complexity should also be taken into account.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highlight w:val="none"/>
          <w:lang w:val="en-US" w:eastAsia="zh-CN"/>
        </w:rPr>
      </w:pPr>
      <w:r>
        <w:rPr>
          <w:rFonts w:hint="eastAsia" w:cs="Times New Roman"/>
          <w:kern w:val="0"/>
          <w:sz w:val="20"/>
          <w:highlight w:val="none"/>
          <w:lang w:val="en-US" w:eastAsia="zh-CN"/>
        </w:rPr>
        <w:t>Due to this topic may also be discussed in 5G R20 without AI-based solution, it would be desirable that the Tx mode including PA model, IQ image/carrier leakage, CFR, DPD would be same for 5G R20 and 6GR to reduce the workload.</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Proposal 11: The evaluation for relaxing Tx EVM should priority high order modulation.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Proposal 12: Non-linearity issue including PA model, IQ image/carrier leakage, CFR, DPD for UE transmitter side should be investigated for Tx EVM relaxing.</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b/>
          <w:bCs/>
          <w:sz w:val="20"/>
          <w:szCs w:val="20"/>
          <w:highlight w:val="none"/>
          <w:u w:val="single"/>
          <w:lang w:val="en-US" w:eastAsia="zh-CN"/>
        </w:rPr>
      </w:pPr>
      <w:r>
        <w:rPr>
          <w:rFonts w:hint="eastAsia"/>
          <w:b/>
          <w:bCs/>
          <w:sz w:val="20"/>
          <w:szCs w:val="20"/>
          <w:highlight w:val="none"/>
          <w:u w:val="single"/>
          <w:lang w:val="en-US" w:eastAsia="zh-CN"/>
        </w:rPr>
        <w:t xml:space="preserve">2.3.3 </w:t>
      </w:r>
      <w:r>
        <w:rPr>
          <w:rFonts w:hint="default"/>
          <w:b/>
          <w:bCs/>
          <w:sz w:val="20"/>
          <w:szCs w:val="20"/>
          <w:highlight w:val="none"/>
          <w:u w:val="single"/>
          <w:lang w:val="en-US" w:eastAsia="zh-CN"/>
        </w:rPr>
        <w:t>Configured tran</w:t>
      </w:r>
      <w:r>
        <w:rPr>
          <w:rFonts w:hint="eastAsia"/>
          <w:b/>
          <w:bCs/>
          <w:sz w:val="20"/>
          <w:szCs w:val="20"/>
          <w:highlight w:val="none"/>
          <w:u w:val="single"/>
          <w:lang w:val="en-US" w:eastAsia="zh-CN"/>
        </w:rPr>
        <w:t>s</w:t>
      </w:r>
      <w:r>
        <w:rPr>
          <w:rFonts w:hint="default"/>
          <w:b/>
          <w:bCs/>
          <w:sz w:val="20"/>
          <w:szCs w:val="20"/>
          <w:highlight w:val="none"/>
          <w:u w:val="single"/>
          <w:lang w:val="en-US" w:eastAsia="zh-CN"/>
        </w:rPr>
        <w:t>mitted power</w:t>
      </w:r>
      <w:r>
        <w:rPr>
          <w:rFonts w:hint="eastAsia"/>
          <w:b/>
          <w:bCs/>
          <w:sz w:val="20"/>
          <w:szCs w:val="20"/>
          <w:highlight w:val="none"/>
          <w:u w:val="single"/>
          <w:lang w:val="en-US" w:eastAsia="zh-CN"/>
        </w:rPr>
        <w:t xml:space="preserve"> simplification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In TS38.101-1, c</w:t>
      </w:r>
      <w:r>
        <w:rPr>
          <w:rFonts w:hint="default" w:cs="Times New Roman"/>
          <w:kern w:val="0"/>
          <w:sz w:val="20"/>
          <w:highlight w:val="none"/>
          <w:lang w:val="en-US" w:eastAsia="zh-CN"/>
        </w:rPr>
        <w:t>onfigured tran</w:t>
      </w:r>
      <w:r>
        <w:rPr>
          <w:rFonts w:hint="eastAsia" w:cs="Times New Roman"/>
          <w:kern w:val="0"/>
          <w:sz w:val="20"/>
          <w:highlight w:val="none"/>
          <w:lang w:val="en-US" w:eastAsia="zh-CN"/>
        </w:rPr>
        <w:t>s</w:t>
      </w:r>
      <w:r>
        <w:rPr>
          <w:rFonts w:hint="default" w:cs="Times New Roman"/>
          <w:kern w:val="0"/>
          <w:sz w:val="20"/>
          <w:highlight w:val="none"/>
          <w:lang w:val="en-US" w:eastAsia="zh-CN"/>
        </w:rPr>
        <w:t>mitted power</w:t>
      </w:r>
      <w:r>
        <w:rPr>
          <w:rFonts w:hint="eastAsia" w:cs="Times New Roman"/>
          <w:kern w:val="0"/>
          <w:sz w:val="20"/>
          <w:highlight w:val="none"/>
          <w:lang w:val="en-US" w:eastAsia="zh-CN"/>
        </w:rPr>
        <w:t xml:space="preserve"> requirements (a.k.a Pcmax) are defined as equations with a number of parameters associated with lots of descriptions for the parameters.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9"/>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szCs w:val="20"/>
                <w:highlight w:val="none"/>
                <w:lang w:eastAsia="zh-CN"/>
              </w:rPr>
            </w:pPr>
            <w:r>
              <w:rPr>
                <w:sz w:val="20"/>
                <w:szCs w:val="20"/>
                <w:highlight w:val="none"/>
                <w:lang w:eastAsia="zh-CN"/>
              </w:rPr>
              <w:t>P</w:t>
            </w:r>
            <w:r>
              <w:rPr>
                <w:sz w:val="20"/>
                <w:szCs w:val="20"/>
                <w:highlight w:val="none"/>
                <w:vertAlign w:val="subscript"/>
                <w:lang w:eastAsia="zh-CN"/>
              </w:rPr>
              <w:t>CMAX_L,f,c</w:t>
            </w:r>
            <w:r>
              <w:rPr>
                <w:sz w:val="20"/>
                <w:szCs w:val="20"/>
                <w:highlight w:val="none"/>
                <w:lang w:eastAsia="zh-CN"/>
              </w:rPr>
              <w:t xml:space="preserve"> ≤  P</w:t>
            </w:r>
            <w:r>
              <w:rPr>
                <w:sz w:val="20"/>
                <w:szCs w:val="20"/>
                <w:highlight w:val="none"/>
                <w:vertAlign w:val="subscript"/>
                <w:lang w:eastAsia="zh-CN"/>
              </w:rPr>
              <w:t>CMAX,f,c</w:t>
            </w:r>
            <w:r>
              <w:rPr>
                <w:sz w:val="20"/>
                <w:szCs w:val="20"/>
                <w:highlight w:val="none"/>
                <w:lang w:eastAsia="zh-CN"/>
              </w:rPr>
              <w:t xml:space="preserve">  ≤  P</w:t>
            </w:r>
            <w:r>
              <w:rPr>
                <w:sz w:val="20"/>
                <w:szCs w:val="20"/>
                <w:highlight w:val="none"/>
                <w:vertAlign w:val="subscript"/>
                <w:lang w:eastAsia="zh-CN"/>
              </w:rPr>
              <w:t>CMAX_H,f,c</w:t>
            </w:r>
            <w:r>
              <w:rPr>
                <w:sz w:val="20"/>
                <w:szCs w:val="20"/>
                <w:highlight w:val="none"/>
                <w:lang w:eastAsia="zh-CN"/>
              </w:rPr>
              <w:t xml:space="preserve"> with</w:t>
            </w:r>
          </w:p>
          <w:p>
            <w:pPr>
              <w:pStyle w:val="49"/>
              <w:keepNext w:val="0"/>
              <w:keepLines w:val="0"/>
              <w:pageBreakBefore w:val="0"/>
              <w:widowControl w:val="0"/>
              <w:kinsoku/>
              <w:wordWrap/>
              <w:overflowPunct w:val="0"/>
              <w:topLinePunct w:val="0"/>
              <w:autoSpaceDE w:val="0"/>
              <w:autoSpaceDN w:val="0"/>
              <w:bidi w:val="0"/>
              <w:adjustRightInd w:val="0"/>
              <w:spacing w:after="180"/>
              <w:jc w:val="both"/>
              <w:textAlignment w:val="baseline"/>
              <w:rPr>
                <w:sz w:val="20"/>
                <w:szCs w:val="20"/>
                <w:highlight w:val="none"/>
                <w:lang w:eastAsia="zh-CN"/>
              </w:rPr>
            </w:pPr>
            <w:r>
              <w:rPr>
                <w:sz w:val="20"/>
                <w:szCs w:val="20"/>
                <w:highlight w:val="none"/>
                <w:lang w:eastAsia="zh-CN"/>
              </w:rPr>
              <w:t>P</w:t>
            </w:r>
            <w:r>
              <w:rPr>
                <w:sz w:val="20"/>
                <w:szCs w:val="20"/>
                <w:highlight w:val="none"/>
                <w:vertAlign w:val="subscript"/>
                <w:lang w:eastAsia="zh-CN"/>
              </w:rPr>
              <w:t>CMAX_L,f,c</w:t>
            </w:r>
            <w:r>
              <w:rPr>
                <w:sz w:val="20"/>
                <w:szCs w:val="20"/>
                <w:highlight w:val="none"/>
                <w:lang w:eastAsia="zh-CN"/>
              </w:rPr>
              <w:t xml:space="preserve"> = MIN {P</w:t>
            </w:r>
            <w:r>
              <w:rPr>
                <w:sz w:val="20"/>
                <w:szCs w:val="20"/>
                <w:highlight w:val="none"/>
                <w:vertAlign w:val="subscript"/>
                <w:lang w:eastAsia="zh-CN"/>
              </w:rPr>
              <w:t>EMAX,c</w:t>
            </w:r>
            <w:r>
              <w:rPr>
                <w:sz w:val="20"/>
                <w:szCs w:val="20"/>
                <w:highlight w:val="none"/>
                <w:lang w:eastAsia="zh-CN"/>
              </w:rPr>
              <w:t>– ∆T</w:t>
            </w:r>
            <w:r>
              <w:rPr>
                <w:sz w:val="20"/>
                <w:szCs w:val="20"/>
                <w:highlight w:val="none"/>
                <w:vertAlign w:val="subscript"/>
                <w:lang w:eastAsia="zh-CN"/>
              </w:rPr>
              <w:t>C,c</w:t>
            </w:r>
            <w:r>
              <w:rPr>
                <w:sz w:val="20"/>
                <w:szCs w:val="20"/>
                <w:highlight w:val="none"/>
                <w:lang w:eastAsia="zh-CN"/>
              </w:rPr>
              <w:t>,  (P</w:t>
            </w:r>
            <w:r>
              <w:rPr>
                <w:sz w:val="20"/>
                <w:szCs w:val="20"/>
                <w:highlight w:val="none"/>
                <w:vertAlign w:val="subscript"/>
                <w:lang w:eastAsia="zh-CN"/>
              </w:rPr>
              <w:t>PowerClass</w:t>
            </w:r>
            <w:r>
              <w:rPr>
                <w:sz w:val="20"/>
                <w:szCs w:val="20"/>
                <w:highlight w:val="none"/>
                <w:lang w:eastAsia="zh-CN"/>
              </w:rPr>
              <w:t xml:space="preserve"> – ΔP</w:t>
            </w:r>
            <w:r>
              <w:rPr>
                <w:sz w:val="20"/>
                <w:szCs w:val="20"/>
                <w:highlight w:val="none"/>
                <w:vertAlign w:val="subscript"/>
                <w:lang w:eastAsia="zh-CN"/>
              </w:rPr>
              <w:t>PowerClass</w:t>
            </w:r>
            <w:r>
              <w:rPr>
                <w:sz w:val="20"/>
                <w:szCs w:val="20"/>
                <w:highlight w:val="none"/>
              </w:rPr>
              <w:t xml:space="preserve"> + ΔP</w:t>
            </w:r>
            <w:r>
              <w:rPr>
                <w:sz w:val="20"/>
                <w:szCs w:val="20"/>
                <w:highlight w:val="none"/>
                <w:vertAlign w:val="subscript"/>
              </w:rPr>
              <w:t>PowerBoost</w:t>
            </w:r>
            <w:r>
              <w:rPr>
                <w:sz w:val="20"/>
                <w:szCs w:val="20"/>
                <w:highlight w:val="none"/>
                <w:lang w:eastAsia="zh-CN"/>
              </w:rPr>
              <w:t>) – MAX(MAX(MPR</w:t>
            </w:r>
            <w:r>
              <w:rPr>
                <w:sz w:val="20"/>
                <w:szCs w:val="20"/>
                <w:highlight w:val="none"/>
                <w:vertAlign w:val="subscript"/>
                <w:lang w:eastAsia="zh-CN"/>
              </w:rPr>
              <w:t>c</w:t>
            </w:r>
            <w:r>
              <w:rPr>
                <w:sz w:val="20"/>
                <w:szCs w:val="20"/>
                <w:highlight w:val="none"/>
                <w:lang w:eastAsia="zh-CN"/>
              </w:rPr>
              <w:t>+∆MPR</w:t>
            </w:r>
            <w:r>
              <w:rPr>
                <w:sz w:val="20"/>
                <w:szCs w:val="20"/>
                <w:highlight w:val="none"/>
                <w:vertAlign w:val="subscript"/>
                <w:lang w:eastAsia="zh-CN"/>
              </w:rPr>
              <w:t>c</w:t>
            </w:r>
            <w:r>
              <w:rPr>
                <w:sz w:val="20"/>
                <w:szCs w:val="20"/>
                <w:highlight w:val="none"/>
                <w:lang w:eastAsia="zh-CN"/>
              </w:rPr>
              <w:t>, A-MPR</w:t>
            </w:r>
            <w:r>
              <w:rPr>
                <w:sz w:val="20"/>
                <w:szCs w:val="20"/>
                <w:highlight w:val="none"/>
                <w:vertAlign w:val="subscript"/>
                <w:lang w:eastAsia="zh-CN"/>
              </w:rPr>
              <w:t>c</w:t>
            </w:r>
            <w:r>
              <w:rPr>
                <w:sz w:val="20"/>
                <w:szCs w:val="20"/>
                <w:highlight w:val="none"/>
                <w:lang w:eastAsia="zh-CN"/>
              </w:rPr>
              <w:t>)+ ΔT</w:t>
            </w:r>
            <w:r>
              <w:rPr>
                <w:sz w:val="20"/>
                <w:szCs w:val="20"/>
                <w:highlight w:val="none"/>
                <w:vertAlign w:val="subscript"/>
                <w:lang w:eastAsia="zh-CN"/>
              </w:rPr>
              <w:t>IB,c</w:t>
            </w:r>
            <w:r>
              <w:rPr>
                <w:sz w:val="20"/>
                <w:szCs w:val="20"/>
                <w:highlight w:val="none"/>
                <w:lang w:eastAsia="zh-CN"/>
              </w:rPr>
              <w:t xml:space="preserve"> + ∆T</w:t>
            </w:r>
            <w:r>
              <w:rPr>
                <w:sz w:val="20"/>
                <w:szCs w:val="20"/>
                <w:highlight w:val="none"/>
                <w:vertAlign w:val="subscript"/>
                <w:lang w:eastAsia="zh-CN"/>
              </w:rPr>
              <w:t xml:space="preserve">C,c </w:t>
            </w:r>
            <w:r>
              <w:rPr>
                <w:sz w:val="20"/>
                <w:szCs w:val="20"/>
                <w:highlight w:val="none"/>
                <w:lang w:eastAsia="zh-CN"/>
              </w:rPr>
              <w:t>+</w:t>
            </w:r>
            <w:r>
              <w:rPr>
                <w:sz w:val="20"/>
                <w:szCs w:val="20"/>
                <w:highlight w:val="none"/>
                <w:vertAlign w:val="subscript"/>
                <w:lang w:eastAsia="zh-CN"/>
              </w:rPr>
              <w:t xml:space="preserve"> </w:t>
            </w:r>
            <w:r>
              <w:rPr>
                <w:sz w:val="20"/>
                <w:szCs w:val="20"/>
                <w:highlight w:val="none"/>
              </w:rPr>
              <w:t>∆T</w:t>
            </w:r>
            <w:r>
              <w:rPr>
                <w:sz w:val="20"/>
                <w:szCs w:val="20"/>
                <w:highlight w:val="none"/>
                <w:vertAlign w:val="subscript"/>
                <w:lang w:eastAsia="zh-CN"/>
              </w:rPr>
              <w:t>RxSRS</w:t>
            </w:r>
            <w:r>
              <w:rPr>
                <w:sz w:val="20"/>
                <w:szCs w:val="20"/>
                <w:highlight w:val="none"/>
                <w:lang w:eastAsia="zh-CN"/>
              </w:rPr>
              <w:t>, P-MPR</w:t>
            </w:r>
            <w:r>
              <w:rPr>
                <w:sz w:val="20"/>
                <w:szCs w:val="20"/>
                <w:highlight w:val="none"/>
                <w:vertAlign w:val="subscript"/>
                <w:lang w:eastAsia="zh-CN"/>
              </w:rPr>
              <w:t>c</w:t>
            </w:r>
            <w:r>
              <w:rPr>
                <w:sz w:val="20"/>
                <w:szCs w:val="20"/>
                <w:highlight w:val="none"/>
                <w:lang w:eastAsia="zh-CN"/>
              </w:rPr>
              <w:t>) }</w:t>
            </w:r>
          </w:p>
          <w:p>
            <w:pPr>
              <w:pStyle w:val="49"/>
              <w:keepNext w:val="0"/>
              <w:keepLines w:val="0"/>
              <w:pageBreakBefore w:val="0"/>
              <w:widowControl w:val="0"/>
              <w:kinsoku/>
              <w:wordWrap/>
              <w:overflowPunct w:val="0"/>
              <w:topLinePunct w:val="0"/>
              <w:autoSpaceDE w:val="0"/>
              <w:autoSpaceDN w:val="0"/>
              <w:bidi w:val="0"/>
              <w:adjustRightInd w:val="0"/>
              <w:spacing w:after="180"/>
              <w:jc w:val="both"/>
              <w:textAlignment w:val="baseline"/>
              <w:rPr>
                <w:rFonts w:hint="default" w:cs="Times New Roman"/>
                <w:kern w:val="0"/>
                <w:sz w:val="20"/>
                <w:highlight w:val="none"/>
                <w:vertAlign w:val="baseline"/>
                <w:lang w:val="en-US" w:eastAsia="zh-CN"/>
              </w:rPr>
            </w:pPr>
            <w:r>
              <w:rPr>
                <w:sz w:val="20"/>
                <w:szCs w:val="20"/>
                <w:highlight w:val="none"/>
                <w:lang w:eastAsia="zh-CN"/>
              </w:rPr>
              <w:t>P</w:t>
            </w:r>
            <w:r>
              <w:rPr>
                <w:sz w:val="20"/>
                <w:szCs w:val="20"/>
                <w:highlight w:val="none"/>
                <w:vertAlign w:val="subscript"/>
                <w:lang w:eastAsia="zh-CN"/>
              </w:rPr>
              <w:t>CMAX_H,f,c</w:t>
            </w:r>
            <w:r>
              <w:rPr>
                <w:sz w:val="20"/>
                <w:szCs w:val="20"/>
                <w:highlight w:val="none"/>
                <w:lang w:eastAsia="zh-CN"/>
              </w:rPr>
              <w:t xml:space="preserve"> = MIN {P</w:t>
            </w:r>
            <w:r>
              <w:rPr>
                <w:sz w:val="20"/>
                <w:szCs w:val="20"/>
                <w:highlight w:val="none"/>
                <w:vertAlign w:val="subscript"/>
                <w:lang w:eastAsia="zh-CN"/>
              </w:rPr>
              <w:t>EMAX,c</w:t>
            </w:r>
            <w:r>
              <w:rPr>
                <w:sz w:val="20"/>
                <w:szCs w:val="20"/>
                <w:highlight w:val="none"/>
                <w:lang w:eastAsia="zh-CN"/>
              </w:rPr>
              <w:t>,  P</w:t>
            </w:r>
            <w:r>
              <w:rPr>
                <w:sz w:val="20"/>
                <w:szCs w:val="20"/>
                <w:highlight w:val="none"/>
                <w:vertAlign w:val="subscript"/>
                <w:lang w:eastAsia="zh-CN"/>
              </w:rPr>
              <w:t>PowerClass</w:t>
            </w:r>
            <w:r>
              <w:rPr>
                <w:sz w:val="20"/>
                <w:szCs w:val="20"/>
                <w:highlight w:val="none"/>
                <w:lang w:eastAsia="zh-CN"/>
              </w:rPr>
              <w:t xml:space="preserve"> – ΔP</w:t>
            </w:r>
            <w:r>
              <w:rPr>
                <w:sz w:val="20"/>
                <w:szCs w:val="20"/>
                <w:highlight w:val="none"/>
                <w:vertAlign w:val="subscript"/>
                <w:lang w:eastAsia="zh-CN"/>
              </w:rPr>
              <w:t>PowerClass</w:t>
            </w:r>
            <w:r>
              <w:rPr>
                <w:sz w:val="20"/>
                <w:szCs w:val="20"/>
                <w:highlight w:val="none"/>
                <w:lang w:eastAsia="zh-CN"/>
              </w:rPr>
              <w:t xml:space="preserve"> </w:t>
            </w:r>
            <w:r>
              <w:rPr>
                <w:sz w:val="20"/>
                <w:szCs w:val="20"/>
                <w:highlight w:val="none"/>
              </w:rPr>
              <w:t>+ ΔP</w:t>
            </w:r>
            <w:r>
              <w:rPr>
                <w:sz w:val="20"/>
                <w:szCs w:val="20"/>
                <w:highlight w:val="none"/>
                <w:vertAlign w:val="subscript"/>
              </w:rPr>
              <w:t>PowerBoost</w:t>
            </w:r>
            <w:r>
              <w:rPr>
                <w:sz w:val="20"/>
                <w:szCs w:val="20"/>
                <w:highlight w:val="none"/>
                <w:lang w:eastAsia="zh-CN"/>
              </w:rPr>
              <w:t>}</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cs="Times New Roman"/>
          <w:kern w:val="0"/>
          <w:sz w:val="20"/>
          <w:szCs w:val="20"/>
          <w:highlight w:val="none"/>
          <w:lang w:val="en-US" w:eastAsia="zh-CN"/>
        </w:rPr>
      </w:pPr>
      <w:r>
        <w:rPr>
          <w:rFonts w:hint="eastAsia" w:cs="Times New Roman"/>
          <w:kern w:val="0"/>
          <w:sz w:val="20"/>
          <w:szCs w:val="20"/>
          <w:highlight w:val="none"/>
          <w:lang w:val="en-US" w:eastAsia="zh-CN"/>
        </w:rPr>
        <w:t xml:space="preserve">Several features are included in the above equation, such as </w:t>
      </w:r>
      <w:r>
        <w:rPr>
          <w:sz w:val="20"/>
          <w:szCs w:val="20"/>
          <w:highlight w:val="none"/>
          <w:lang w:eastAsia="zh-CN"/>
        </w:rPr>
        <w:t>ΔP</w:t>
      </w:r>
      <w:r>
        <w:rPr>
          <w:sz w:val="20"/>
          <w:szCs w:val="20"/>
          <w:highlight w:val="none"/>
          <w:vertAlign w:val="subscript"/>
          <w:lang w:eastAsia="zh-CN"/>
        </w:rPr>
        <w:t>PowerClass</w:t>
      </w:r>
      <w:r>
        <w:rPr>
          <w:rFonts w:hint="eastAsia"/>
          <w:sz w:val="20"/>
          <w:szCs w:val="20"/>
          <w:highlight w:val="none"/>
          <w:vertAlign w:val="baseline"/>
          <w:lang w:val="en-US" w:eastAsia="zh-CN"/>
        </w:rPr>
        <w:t xml:space="preserve"> is</w:t>
      </w:r>
      <w:r>
        <w:rPr>
          <w:rFonts w:hint="eastAsia"/>
          <w:sz w:val="20"/>
          <w:szCs w:val="20"/>
          <w:highlight w:val="none"/>
          <w:vertAlign w:val="subscript"/>
          <w:lang w:val="en-US" w:eastAsia="zh-CN"/>
        </w:rPr>
        <w:t xml:space="preserve"> </w:t>
      </w:r>
      <w:r>
        <w:rPr>
          <w:rFonts w:hint="eastAsia" w:cs="Times New Roman"/>
          <w:kern w:val="0"/>
          <w:sz w:val="20"/>
          <w:szCs w:val="20"/>
          <w:highlight w:val="none"/>
          <w:lang w:val="en-US" w:eastAsia="zh-CN"/>
        </w:rPr>
        <w:t xml:space="preserve">for duty cycle SAR solution, </w:t>
      </w:r>
      <w:r>
        <w:rPr>
          <w:sz w:val="20"/>
          <w:szCs w:val="20"/>
          <w:highlight w:val="none"/>
        </w:rPr>
        <w:t>ΔP</w:t>
      </w:r>
      <w:r>
        <w:rPr>
          <w:sz w:val="20"/>
          <w:szCs w:val="20"/>
          <w:highlight w:val="none"/>
          <w:vertAlign w:val="subscript"/>
        </w:rPr>
        <w:t>PowerBoost</w:t>
      </w:r>
      <w:r>
        <w:rPr>
          <w:rFonts w:hint="eastAsia"/>
          <w:sz w:val="20"/>
          <w:szCs w:val="20"/>
          <w:highlight w:val="none"/>
          <w:vertAlign w:val="subscript"/>
          <w:lang w:val="en-US" w:eastAsia="zh-CN"/>
        </w:rPr>
        <w:t xml:space="preserve"> </w:t>
      </w:r>
      <w:r>
        <w:rPr>
          <w:rFonts w:hint="eastAsia"/>
          <w:sz w:val="20"/>
          <w:szCs w:val="20"/>
          <w:highlight w:val="none"/>
          <w:vertAlign w:val="baseline"/>
          <w:lang w:val="en-US" w:eastAsia="zh-CN"/>
        </w:rPr>
        <w:t xml:space="preserve">is for power boosting to enhance the UL coverage, </w:t>
      </w:r>
      <w:r>
        <w:rPr>
          <w:sz w:val="20"/>
          <w:szCs w:val="20"/>
          <w:highlight w:val="none"/>
        </w:rPr>
        <w:t>∆T</w:t>
      </w:r>
      <w:r>
        <w:rPr>
          <w:sz w:val="20"/>
          <w:szCs w:val="20"/>
          <w:highlight w:val="none"/>
          <w:vertAlign w:val="subscript"/>
          <w:lang w:eastAsia="zh-CN"/>
        </w:rPr>
        <w:t>RxSRS</w:t>
      </w:r>
      <w:r>
        <w:rPr>
          <w:rFonts w:hint="eastAsia"/>
          <w:sz w:val="20"/>
          <w:szCs w:val="20"/>
          <w:highlight w:val="none"/>
          <w:vertAlign w:val="subscript"/>
          <w:lang w:val="en-US" w:eastAsia="zh-CN"/>
        </w:rPr>
        <w:t xml:space="preserve"> </w:t>
      </w:r>
      <w:r>
        <w:rPr>
          <w:rFonts w:hint="eastAsia"/>
          <w:sz w:val="20"/>
          <w:szCs w:val="20"/>
          <w:highlight w:val="none"/>
          <w:vertAlign w:val="baseline"/>
          <w:lang w:val="en-US" w:eastAsia="zh-CN"/>
        </w:rPr>
        <w:t xml:space="preserve">is for SRS antenna switching xTyR cases, and </w:t>
      </w:r>
      <w:r>
        <w:rPr>
          <w:sz w:val="20"/>
          <w:szCs w:val="20"/>
          <w:highlight w:val="none"/>
          <w:lang w:eastAsia="zh-CN"/>
        </w:rPr>
        <w:t>ΔT</w:t>
      </w:r>
      <w:r>
        <w:rPr>
          <w:sz w:val="20"/>
          <w:szCs w:val="20"/>
          <w:highlight w:val="none"/>
          <w:vertAlign w:val="subscript"/>
          <w:lang w:eastAsia="zh-CN"/>
        </w:rPr>
        <w:t>IB,c</w:t>
      </w:r>
      <w:r>
        <w:rPr>
          <w:sz w:val="20"/>
          <w:szCs w:val="20"/>
          <w:highlight w:val="none"/>
          <w:lang w:eastAsia="zh-CN"/>
        </w:rPr>
        <w:t xml:space="preserve"> </w:t>
      </w:r>
      <w:r>
        <w:rPr>
          <w:rFonts w:hint="eastAsia"/>
          <w:sz w:val="20"/>
          <w:szCs w:val="20"/>
          <w:highlight w:val="none"/>
          <w:lang w:val="en-US" w:eastAsia="zh-CN"/>
        </w:rPr>
        <w:t xml:space="preserve">is for a band in different band combinations. </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vertAlign w:val="baseline"/>
          <w:lang w:val="en-US" w:eastAsia="zh-CN"/>
        </w:rPr>
      </w:pPr>
      <w:r>
        <w:rPr>
          <w:rFonts w:hint="eastAsia" w:cs="Times New Roman"/>
          <w:kern w:val="0"/>
          <w:sz w:val="20"/>
          <w:szCs w:val="20"/>
          <w:highlight w:val="none"/>
          <w:lang w:val="en-US" w:eastAsia="zh-CN"/>
        </w:rPr>
        <w:t xml:space="preserve">For </w:t>
      </w:r>
      <w:r>
        <w:rPr>
          <w:sz w:val="20"/>
          <w:szCs w:val="20"/>
          <w:highlight w:val="none"/>
        </w:rPr>
        <w:t>∆T</w:t>
      </w:r>
      <w:r>
        <w:rPr>
          <w:sz w:val="20"/>
          <w:szCs w:val="20"/>
          <w:highlight w:val="none"/>
          <w:vertAlign w:val="subscript"/>
          <w:lang w:eastAsia="zh-CN"/>
        </w:rPr>
        <w:t>RxSRS</w:t>
      </w:r>
      <w:r>
        <w:rPr>
          <w:rFonts w:hint="eastAsia"/>
          <w:sz w:val="20"/>
          <w:szCs w:val="20"/>
          <w:highlight w:val="none"/>
          <w:vertAlign w:val="baseline"/>
          <w:lang w:val="en-US" w:eastAsia="zh-CN"/>
        </w:rPr>
        <w:t xml:space="preserve">, the value mainly come from the average of values proposed by different companies, and for 6Rx/8Rx feature, the values are too high which may not reflect the realistic implementation. Even this requirement was never verified/tested in the filed although it existed in the specification for a long time. In Rel-19, companies spent almost one release to discuss how to solve the SRS insertion loss imbalance due to high </w:t>
      </w:r>
      <w:r>
        <w:rPr>
          <w:sz w:val="20"/>
          <w:szCs w:val="20"/>
          <w:highlight w:val="none"/>
        </w:rPr>
        <w:t>∆T</w:t>
      </w:r>
      <w:r>
        <w:rPr>
          <w:sz w:val="20"/>
          <w:szCs w:val="20"/>
          <w:highlight w:val="none"/>
          <w:vertAlign w:val="subscript"/>
          <w:lang w:eastAsia="zh-CN"/>
        </w:rPr>
        <w:t>RxSRS</w:t>
      </w:r>
      <w:r>
        <w:rPr>
          <w:rFonts w:hint="eastAsia"/>
          <w:sz w:val="20"/>
          <w:szCs w:val="20"/>
          <w:highlight w:val="none"/>
          <w:vertAlign w:val="subscript"/>
          <w:lang w:val="en-US" w:eastAsia="zh-CN"/>
        </w:rPr>
        <w:t xml:space="preserve"> </w:t>
      </w:r>
      <w:r>
        <w:rPr>
          <w:rFonts w:hint="eastAsia"/>
          <w:sz w:val="20"/>
          <w:szCs w:val="20"/>
          <w:highlight w:val="none"/>
          <w:vertAlign w:val="baseline"/>
          <w:lang w:val="en-US" w:eastAsia="zh-CN"/>
        </w:rPr>
        <w:t>values are defined in the specification but no consensus at all. We think this issue should be solved anyway in 6GR. Otherwise, it may not make sense to include it in the equation.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highlight w:val="none"/>
          <w:vertAlign w:val="baseline"/>
          <w:lang w:val="en-US" w:eastAsia="zh-CN"/>
        </w:rPr>
      </w:pPr>
      <w:r>
        <w:rPr>
          <w:rFonts w:hint="eastAsia" w:cs="Times New Roman"/>
          <w:b/>
          <w:bCs/>
          <w:kern w:val="0"/>
          <w:sz w:val="20"/>
          <w:highlight w:val="none"/>
          <w:lang w:val="en-US" w:eastAsia="zh-CN"/>
        </w:rPr>
        <w:t xml:space="preserve">Observation 9: </w:t>
      </w:r>
      <w:r>
        <w:rPr>
          <w:b/>
          <w:bCs/>
          <w:sz w:val="20"/>
          <w:szCs w:val="20"/>
          <w:highlight w:val="none"/>
        </w:rPr>
        <w:t>∆T</w:t>
      </w:r>
      <w:r>
        <w:rPr>
          <w:b/>
          <w:bCs/>
          <w:sz w:val="20"/>
          <w:szCs w:val="20"/>
          <w:highlight w:val="none"/>
          <w:vertAlign w:val="subscript"/>
          <w:lang w:eastAsia="zh-CN"/>
        </w:rPr>
        <w:t>RxSRS</w:t>
      </w:r>
      <w:r>
        <w:rPr>
          <w:rFonts w:hint="eastAsia" w:cs="Times New Roman"/>
          <w:b/>
          <w:bCs/>
          <w:kern w:val="0"/>
          <w:sz w:val="20"/>
          <w:highlight w:val="none"/>
          <w:lang w:val="en-US" w:eastAsia="zh-CN"/>
        </w:rPr>
        <w:t xml:space="preserve"> requirement was not verified and the </w:t>
      </w:r>
      <w:r>
        <w:rPr>
          <w:rFonts w:hint="eastAsia"/>
          <w:b/>
          <w:bCs/>
          <w:sz w:val="20"/>
          <w:szCs w:val="20"/>
          <w:highlight w:val="none"/>
          <w:vertAlign w:val="baseline"/>
          <w:lang w:val="en-US" w:eastAsia="zh-CN"/>
        </w:rPr>
        <w:t>SRS insertion loss imbalance was not solved in 5G NR.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highlight w:val="none"/>
          <w:vertAlign w:val="baseline"/>
          <w:lang w:val="en-US" w:eastAsia="zh-CN"/>
        </w:rPr>
      </w:pPr>
      <w:r>
        <w:rPr>
          <w:rFonts w:hint="eastAsia"/>
          <w:sz w:val="20"/>
          <w:szCs w:val="20"/>
          <w:highlight w:val="none"/>
          <w:vertAlign w:val="baseline"/>
          <w:lang w:val="en-US" w:eastAsia="zh-CN"/>
        </w:rPr>
        <w:t xml:space="preserve">Another aspect is the duty cycle description for </w:t>
      </w:r>
      <w:r>
        <w:rPr>
          <w:sz w:val="20"/>
          <w:szCs w:val="20"/>
          <w:highlight w:val="none"/>
          <w:lang w:eastAsia="zh-CN"/>
        </w:rPr>
        <w:t>ΔP</w:t>
      </w:r>
      <w:r>
        <w:rPr>
          <w:sz w:val="20"/>
          <w:szCs w:val="20"/>
          <w:highlight w:val="none"/>
          <w:vertAlign w:val="subscript"/>
          <w:lang w:eastAsia="zh-CN"/>
        </w:rPr>
        <w:t>PowerClass</w:t>
      </w:r>
      <w:r>
        <w:rPr>
          <w:rFonts w:hint="eastAsia"/>
          <w:sz w:val="20"/>
          <w:szCs w:val="20"/>
          <w:highlight w:val="none"/>
          <w:vertAlign w:val="subscript"/>
          <w:lang w:val="en-US" w:eastAsia="zh-CN"/>
        </w:rPr>
        <w:t xml:space="preserve"> </w:t>
      </w:r>
      <w:r>
        <w:rPr>
          <w:rFonts w:hint="eastAsia"/>
          <w:sz w:val="20"/>
          <w:szCs w:val="20"/>
          <w:highlight w:val="none"/>
          <w:vertAlign w:val="baseline"/>
          <w:lang w:val="en-US" w:eastAsia="zh-CN"/>
        </w:rPr>
        <w:t>and</w:t>
      </w:r>
      <w:r>
        <w:rPr>
          <w:rFonts w:hint="eastAsia"/>
          <w:sz w:val="20"/>
          <w:szCs w:val="20"/>
          <w:highlight w:val="none"/>
          <w:vertAlign w:val="subscript"/>
          <w:lang w:val="en-US" w:eastAsia="zh-CN"/>
        </w:rPr>
        <w:t xml:space="preserve"> </w:t>
      </w:r>
      <w:r>
        <w:rPr>
          <w:sz w:val="20"/>
          <w:szCs w:val="20"/>
          <w:highlight w:val="none"/>
        </w:rPr>
        <w:t>ΔP</w:t>
      </w:r>
      <w:r>
        <w:rPr>
          <w:sz w:val="20"/>
          <w:szCs w:val="20"/>
          <w:highlight w:val="none"/>
          <w:vertAlign w:val="subscript"/>
        </w:rPr>
        <w:t>PowerBoost</w:t>
      </w:r>
      <w:r>
        <w:rPr>
          <w:rFonts w:hint="eastAsia"/>
          <w:sz w:val="20"/>
          <w:szCs w:val="20"/>
          <w:highlight w:val="none"/>
          <w:vertAlign w:val="subscript"/>
          <w:lang w:val="en-US" w:eastAsia="zh-CN"/>
        </w:rPr>
        <w:t xml:space="preserve">. </w:t>
      </w:r>
      <w:r>
        <w:rPr>
          <w:rFonts w:hint="eastAsia"/>
          <w:sz w:val="20"/>
          <w:szCs w:val="20"/>
          <w:highlight w:val="none"/>
          <w:vertAlign w:val="baseline"/>
          <w:lang w:val="en-US" w:eastAsia="zh-CN"/>
        </w:rPr>
        <w:t xml:space="preserve">The </w:t>
      </w:r>
      <w:r>
        <w:rPr>
          <w:sz w:val="20"/>
          <w:szCs w:val="20"/>
          <w:highlight w:val="none"/>
          <w:lang w:eastAsia="zh-CN"/>
        </w:rPr>
        <w:t>ΔP</w:t>
      </w:r>
      <w:r>
        <w:rPr>
          <w:sz w:val="20"/>
          <w:szCs w:val="20"/>
          <w:highlight w:val="none"/>
          <w:vertAlign w:val="subscript"/>
          <w:lang w:eastAsia="zh-CN"/>
        </w:rPr>
        <w:t>PowerClass</w:t>
      </w:r>
      <w:r>
        <w:rPr>
          <w:rFonts w:hint="eastAsia"/>
          <w:sz w:val="20"/>
          <w:szCs w:val="20"/>
          <w:highlight w:val="none"/>
          <w:vertAlign w:val="subscript"/>
          <w:lang w:val="en-US" w:eastAsia="zh-CN"/>
        </w:rPr>
        <w:t xml:space="preserve"> </w:t>
      </w:r>
      <w:r>
        <w:rPr>
          <w:rFonts w:hint="eastAsia"/>
          <w:sz w:val="20"/>
          <w:szCs w:val="20"/>
          <w:highlight w:val="none"/>
          <w:vertAlign w:val="baseline"/>
          <w:lang w:val="en-US" w:eastAsia="zh-CN"/>
        </w:rPr>
        <w:t xml:space="preserve">is used to the maximum output fallback when the P-max is singled and lower than the power class or duty cycle is not met. For the duty cycle for HPUE TDD band, it seems it was never used in filed according to the previous discussion. One of the main reason was that the exact evaluation period is not clear in the text like </w:t>
      </w:r>
      <w:r>
        <w:rPr>
          <w:rFonts w:hint="default"/>
          <w:i/>
          <w:iCs/>
          <w:sz w:val="20"/>
          <w:szCs w:val="20"/>
          <w:highlight w:val="none"/>
          <w:vertAlign w:val="baseline"/>
          <w:lang w:val="en-US" w:eastAsia="zh-CN"/>
        </w:rPr>
        <w:t>‘</w:t>
      </w:r>
      <w:r>
        <w:rPr>
          <w:rFonts w:hint="eastAsia"/>
          <w:i/>
          <w:iCs/>
          <w:sz w:val="20"/>
          <w:szCs w:val="20"/>
          <w:highlight w:val="none"/>
          <w:vertAlign w:val="baseline"/>
          <w:lang w:val="en-US" w:eastAsia="zh-CN"/>
        </w:rPr>
        <w:t>...</w:t>
      </w:r>
      <w:r>
        <w:rPr>
          <w:i/>
          <w:iCs/>
          <w:sz w:val="20"/>
          <w:szCs w:val="20"/>
          <w:highlight w:val="none"/>
        </w:rPr>
        <w:t>the percentage of uplink symbols transmitted in a certain evaluation period is larger than 50% (The exact evaluation period is no less than one radio frame)</w:t>
      </w:r>
      <w:r>
        <w:rPr>
          <w:rFonts w:hint="default"/>
          <w:i/>
          <w:iCs/>
          <w:sz w:val="20"/>
          <w:szCs w:val="20"/>
          <w:highlight w:val="none"/>
          <w:vertAlign w:val="baseline"/>
          <w:lang w:val="en-US" w:eastAsia="zh-CN"/>
        </w:rPr>
        <w:t>’</w:t>
      </w:r>
      <w:r>
        <w:rPr>
          <w:rFonts w:hint="eastAsia"/>
          <w:sz w:val="20"/>
          <w:szCs w:val="20"/>
          <w:highlight w:val="none"/>
          <w:vertAlign w:val="baseline"/>
          <w:lang w:val="en-US" w:eastAsia="zh-CN"/>
        </w:rPr>
        <w:t>, it would make misalignment between NW and UE since NW have no idea what the exact evaluation period is for duty cycle evaluation. For PC2 FDD band, there was no duty cycle SAR solution introduced in the specification, instead of using the P-MPR solution.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Observation 10: Duty cycle SAR solution was not implemented in 5G NR according to the previous discussion.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Overall, we think the </w:t>
      </w:r>
      <w:r>
        <w:rPr>
          <w:rFonts w:hint="eastAsia" w:cs="Times New Roman"/>
          <w:kern w:val="0"/>
          <w:sz w:val="20"/>
          <w:highlight w:val="none"/>
          <w:lang w:val="en-US" w:eastAsia="zh-CN"/>
        </w:rPr>
        <w:t xml:space="preserve">requirements are a bit too complicate to understand well, and these exists some unsolved issue as mentioned as above. We are wondering if it is feasible to simplify </w:t>
      </w:r>
      <w:r>
        <w:rPr>
          <w:rFonts w:hint="default" w:cs="Times New Roman"/>
          <w:i w:val="0"/>
          <w:iCs w:val="0"/>
          <w:kern w:val="0"/>
          <w:sz w:val="20"/>
          <w:highlight w:val="none"/>
          <w:lang w:val="en-US" w:eastAsia="zh-CN"/>
        </w:rPr>
        <w:t>the configured tran</w:t>
      </w:r>
      <w:r>
        <w:rPr>
          <w:rFonts w:hint="eastAsia" w:cs="Times New Roman"/>
          <w:i w:val="0"/>
          <w:iCs w:val="0"/>
          <w:kern w:val="0"/>
          <w:sz w:val="20"/>
          <w:highlight w:val="none"/>
          <w:lang w:val="en-US" w:eastAsia="zh-CN"/>
        </w:rPr>
        <w:t>s</w:t>
      </w:r>
      <w:r>
        <w:rPr>
          <w:rFonts w:hint="default" w:cs="Times New Roman"/>
          <w:i w:val="0"/>
          <w:iCs w:val="0"/>
          <w:kern w:val="0"/>
          <w:sz w:val="20"/>
          <w:highlight w:val="none"/>
          <w:lang w:val="en-US" w:eastAsia="zh-CN"/>
        </w:rPr>
        <w:t>mitted power requirement</w:t>
      </w:r>
      <w:r>
        <w:rPr>
          <w:rFonts w:hint="eastAsia" w:cs="Times New Roman"/>
          <w:i w:val="0"/>
          <w:iCs w:val="0"/>
          <w:kern w:val="0"/>
          <w:sz w:val="20"/>
          <w:highlight w:val="none"/>
          <w:lang w:val="en-US" w:eastAsia="zh-CN"/>
        </w:rPr>
        <w:t xml:space="preserve">, as well as to solve issues of </w:t>
      </w:r>
      <w:r>
        <w:rPr>
          <w:sz w:val="20"/>
          <w:szCs w:val="20"/>
          <w:highlight w:val="none"/>
        </w:rPr>
        <w:t>∆T</w:t>
      </w:r>
      <w:r>
        <w:rPr>
          <w:sz w:val="20"/>
          <w:szCs w:val="20"/>
          <w:highlight w:val="none"/>
          <w:vertAlign w:val="subscript"/>
          <w:lang w:eastAsia="zh-CN"/>
        </w:rPr>
        <w:t>RxSRS</w:t>
      </w:r>
      <w:r>
        <w:rPr>
          <w:rFonts w:hint="eastAsia"/>
          <w:sz w:val="20"/>
          <w:szCs w:val="20"/>
          <w:highlight w:val="none"/>
          <w:vertAlign w:val="subscript"/>
          <w:lang w:val="en-US" w:eastAsia="zh-CN"/>
        </w:rPr>
        <w:t xml:space="preserve"> </w:t>
      </w:r>
      <w:r>
        <w:rPr>
          <w:rFonts w:hint="eastAsia" w:cs="Times New Roman"/>
          <w:i w:val="0"/>
          <w:iCs w:val="0"/>
          <w:kern w:val="0"/>
          <w:sz w:val="20"/>
          <w:highlight w:val="none"/>
          <w:lang w:val="en-US" w:eastAsia="zh-CN"/>
        </w:rPr>
        <w:t xml:space="preserve">and </w:t>
      </w:r>
      <w:r>
        <w:rPr>
          <w:rFonts w:hint="eastAsia"/>
          <w:sz w:val="20"/>
          <w:szCs w:val="20"/>
          <w:highlight w:val="none"/>
          <w:vertAlign w:val="baseline"/>
          <w:lang w:val="en-US" w:eastAsia="zh-CN"/>
        </w:rPr>
        <w:t>duty cycle SAR solution.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highlight w:val="none"/>
          <w:vertAlign w:val="baseline"/>
          <w:lang w:val="en-US" w:eastAsia="zh-CN"/>
        </w:rPr>
      </w:pPr>
      <w:r>
        <w:rPr>
          <w:rFonts w:hint="eastAsia"/>
          <w:b/>
          <w:bCs/>
          <w:sz w:val="20"/>
          <w:szCs w:val="20"/>
          <w:highlight w:val="none"/>
          <w:vertAlign w:val="baseline"/>
          <w:lang w:val="en-US" w:eastAsia="zh-CN"/>
        </w:rPr>
        <w:t xml:space="preserve">Proposal 13: To </w:t>
      </w:r>
      <w:r>
        <w:rPr>
          <w:rFonts w:hint="eastAsia" w:cs="Times New Roman"/>
          <w:b/>
          <w:bCs/>
          <w:kern w:val="0"/>
          <w:sz w:val="20"/>
          <w:highlight w:val="none"/>
          <w:lang w:val="en-US" w:eastAsia="zh-CN"/>
        </w:rPr>
        <w:t xml:space="preserve">simplify </w:t>
      </w:r>
      <w:r>
        <w:rPr>
          <w:rFonts w:hint="default" w:cs="Times New Roman"/>
          <w:b/>
          <w:bCs/>
          <w:i w:val="0"/>
          <w:iCs w:val="0"/>
          <w:kern w:val="0"/>
          <w:sz w:val="20"/>
          <w:highlight w:val="none"/>
          <w:lang w:val="en-US" w:eastAsia="zh-CN"/>
        </w:rPr>
        <w:t>the configured tran</w:t>
      </w:r>
      <w:r>
        <w:rPr>
          <w:rFonts w:hint="eastAsia" w:cs="Times New Roman"/>
          <w:b/>
          <w:bCs/>
          <w:i w:val="0"/>
          <w:iCs w:val="0"/>
          <w:kern w:val="0"/>
          <w:sz w:val="20"/>
          <w:highlight w:val="none"/>
          <w:lang w:val="en-US" w:eastAsia="zh-CN"/>
        </w:rPr>
        <w:t>s</w:t>
      </w:r>
      <w:r>
        <w:rPr>
          <w:rFonts w:hint="default" w:cs="Times New Roman"/>
          <w:b/>
          <w:bCs/>
          <w:i w:val="0"/>
          <w:iCs w:val="0"/>
          <w:kern w:val="0"/>
          <w:sz w:val="20"/>
          <w:highlight w:val="none"/>
          <w:lang w:val="en-US" w:eastAsia="zh-CN"/>
        </w:rPr>
        <w:t>mitted power requirement</w:t>
      </w:r>
      <w:r>
        <w:rPr>
          <w:rFonts w:hint="eastAsia" w:cs="Times New Roman"/>
          <w:b/>
          <w:bCs/>
          <w:i w:val="0"/>
          <w:iCs w:val="0"/>
          <w:kern w:val="0"/>
          <w:sz w:val="20"/>
          <w:highlight w:val="none"/>
          <w:lang w:val="en-US" w:eastAsia="zh-CN"/>
        </w:rPr>
        <w:t xml:space="preserve"> if possible, as well as to solve issues of </w:t>
      </w:r>
      <w:r>
        <w:rPr>
          <w:b/>
          <w:bCs/>
          <w:sz w:val="20"/>
          <w:szCs w:val="20"/>
          <w:highlight w:val="none"/>
        </w:rPr>
        <w:t>∆T</w:t>
      </w:r>
      <w:r>
        <w:rPr>
          <w:b/>
          <w:bCs/>
          <w:sz w:val="20"/>
          <w:szCs w:val="20"/>
          <w:highlight w:val="none"/>
          <w:vertAlign w:val="subscript"/>
          <w:lang w:eastAsia="zh-CN"/>
        </w:rPr>
        <w:t>RxSRS</w:t>
      </w:r>
      <w:r>
        <w:rPr>
          <w:rFonts w:hint="eastAsia"/>
          <w:b/>
          <w:bCs/>
          <w:sz w:val="20"/>
          <w:szCs w:val="20"/>
          <w:highlight w:val="none"/>
          <w:vertAlign w:val="subscript"/>
          <w:lang w:val="en-US" w:eastAsia="zh-CN"/>
        </w:rPr>
        <w:t xml:space="preserve"> </w:t>
      </w:r>
      <w:r>
        <w:rPr>
          <w:rFonts w:hint="eastAsia" w:cs="Times New Roman"/>
          <w:b/>
          <w:bCs/>
          <w:i w:val="0"/>
          <w:iCs w:val="0"/>
          <w:kern w:val="0"/>
          <w:sz w:val="20"/>
          <w:highlight w:val="none"/>
          <w:lang w:val="en-US" w:eastAsia="zh-CN"/>
        </w:rPr>
        <w:t xml:space="preserve">and </w:t>
      </w:r>
      <w:r>
        <w:rPr>
          <w:rFonts w:hint="eastAsia"/>
          <w:b/>
          <w:bCs/>
          <w:sz w:val="20"/>
          <w:szCs w:val="20"/>
          <w:highlight w:val="none"/>
          <w:vertAlign w:val="baseline"/>
          <w:lang w:val="en-US" w:eastAsia="zh-CN"/>
        </w:rPr>
        <w:t>duty cycle SAR solution.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2"/>
        <w:rPr>
          <w:rFonts w:hint="default"/>
          <w:b/>
          <w:bCs/>
          <w:sz w:val="20"/>
          <w:szCs w:val="20"/>
          <w:highlight w:val="none"/>
          <w:u w:val="single"/>
          <w:lang w:val="en-US" w:eastAsia="zh-CN"/>
        </w:rPr>
      </w:pPr>
      <w:r>
        <w:rPr>
          <w:rFonts w:hint="eastAsia"/>
          <w:b/>
          <w:bCs/>
          <w:sz w:val="20"/>
          <w:highlight w:val="none"/>
          <w:u w:val="single"/>
          <w:lang w:val="en-US" w:eastAsia="zh-CN"/>
        </w:rPr>
        <w:t xml:space="preserve">2.3.4 </w:t>
      </w:r>
      <w:r>
        <w:rPr>
          <w:rFonts w:hint="eastAsia"/>
          <w:b/>
          <w:bCs/>
          <w:sz w:val="20"/>
          <w:highlight w:val="none"/>
          <w:u w:val="single"/>
        </w:rPr>
        <w:t>The boundary between out-of-band emissions and spurious emissions domain</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Regarding the definition of the boundary between out-of-band emissions and spurious emissions domain, ITU-R SM.329 was used as a reference since UTRA was specified in 3GPP. The rule in SM.329 is that </w:t>
      </w:r>
      <w:r>
        <w:rPr>
          <w:rFonts w:hint="default"/>
          <w:sz w:val="20"/>
          <w:szCs w:val="20"/>
          <w:highlight w:val="none"/>
          <w:lang w:val="en-US" w:eastAsia="zh-CN"/>
        </w:rPr>
        <w:t>“</w:t>
      </w:r>
      <w:r>
        <w:rPr>
          <w:rFonts w:hint="eastAsia"/>
          <w:sz w:val="20"/>
          <w:szCs w:val="20"/>
          <w:highlight w:val="none"/>
          <w:lang w:val="en-US" w:eastAsia="zh-CN"/>
        </w:rPr>
        <w:t xml:space="preserve"> the spurious domain generally consists of frequencies separated from the centre frequency of the emission by 250% or more of the necessary bandwidth of the emission</w:t>
      </w:r>
      <w:r>
        <w:rPr>
          <w:rFonts w:hint="default"/>
          <w:sz w:val="20"/>
          <w:szCs w:val="20"/>
          <w:highlight w:val="none"/>
          <w:lang w:val="en-US" w:eastAsia="zh-CN"/>
        </w:rPr>
        <w:t>”</w:t>
      </w:r>
      <w:r>
        <w:rPr>
          <w:rFonts w:hint="eastAsia"/>
          <w:sz w:val="20"/>
          <w:szCs w:val="20"/>
          <w:highlight w:val="none"/>
          <w:lang w:val="en-US" w:eastAsia="zh-CN"/>
        </w:rPr>
        <w:t>. In 3GPP, it specifies the boundary between NR out of band and general spurious emission domain as BWchannel + 5 for above 3MHz channel bandwidth and 6MHz for 3MHz CBW respectively. It can be observed that only OOB boundary defined for 3MHz and 5MHz CBW conforms to 250% of necessary bandwidth rule. For channel bandwidth more than 5MHz, OOB boundary is stricter than 250% of necessary bandwidth.</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For Rel-19 power boosting and/or MPR reduction, it aims to specify the power domain enhancement for further </w:t>
      </w:r>
      <w:r>
        <w:rPr>
          <w:rFonts w:ascii="Times New Roman" w:hAnsi="Times New Roman" w:cs="Times New Roman"/>
          <w:sz w:val="20"/>
          <w:szCs w:val="20"/>
        </w:rPr>
        <w:t>MPR reduction for NR single carrier and NR intra-band UL CA</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Since</w:t>
      </w:r>
      <w:r>
        <w:rPr>
          <w:rFonts w:hint="eastAsia"/>
          <w:sz w:val="20"/>
          <w:szCs w:val="20"/>
          <w:highlight w:val="none"/>
          <w:lang w:val="en-US" w:eastAsia="zh-CN"/>
        </w:rPr>
        <w:t xml:space="preserve"> power enhancement is restricted by out-of-band emission requirements, e.g., ACLR, SEM and SE requirements, this scheme achieves MPR reduction in outer/edge RB allocation by relaxing emission requirements under the conditions where no co-existence issue is caused especially for the deployment of two adjacent frequency blocks, which make it feasible to further enhance the Tx power. </w:t>
      </w:r>
    </w:p>
    <w:p>
      <w:pPr>
        <w:keepNext w:val="0"/>
        <w:keepLines w:val="0"/>
        <w:pageBreakBefore w:val="0"/>
        <w:widowControl w:val="0"/>
        <w:kinsoku/>
        <w:wordWrap/>
        <w:topLinePunct w:val="0"/>
        <w:bidi w:val="0"/>
        <w:jc w:val="both"/>
        <w:rPr>
          <w:rFonts w:hint="default"/>
          <w:sz w:val="20"/>
          <w:szCs w:val="20"/>
          <w:highlight w:val="none"/>
          <w:lang w:val="en-US" w:eastAsia="zh-CN"/>
        </w:rPr>
      </w:pPr>
      <w:r>
        <w:rPr>
          <w:rFonts w:hint="default"/>
          <w:sz w:val="20"/>
          <w:szCs w:val="20"/>
          <w:highlight w:val="none"/>
          <w:lang w:val="en-US" w:eastAsia="zh-CN"/>
        </w:rPr>
        <w:t>One of the method in Rel-19 discussion is to shift the OOB boundary based on the extended CBW in each or both side of UE CBW, which results in relaxed MPR in the outer/edge RB region</w:t>
      </w:r>
      <w:r>
        <w:rPr>
          <w:rFonts w:hint="eastAsia"/>
          <w:sz w:val="20"/>
          <w:szCs w:val="20"/>
          <w:highlight w:val="none"/>
          <w:lang w:val="en-US" w:eastAsia="zh-CN"/>
        </w:rPr>
        <w:t xml:space="preserve">. With the similar idea as Rel-19 that relaxing </w:t>
      </w:r>
      <w:r>
        <w:rPr>
          <w:rFonts w:hint="default"/>
          <w:sz w:val="20"/>
          <w:szCs w:val="20"/>
          <w:highlight w:val="none"/>
          <w:lang w:val="en-US" w:eastAsia="zh-CN"/>
        </w:rPr>
        <w:t>OOB boundary</w:t>
      </w:r>
      <w:r>
        <w:rPr>
          <w:rFonts w:hint="eastAsia"/>
          <w:sz w:val="20"/>
          <w:szCs w:val="20"/>
          <w:highlight w:val="none"/>
          <w:lang w:val="en-US" w:eastAsia="zh-CN"/>
        </w:rPr>
        <w:t xml:space="preserve"> will cause the benefit of low MPR, when RAN4 define the OOB requirements in 6GR, the boundary between OOB emission and spurious emission domain could be discussed to further enhance UL coverage.</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Observation 11: OOB boundary defined for channel bandwidth more than 5MHz in 3GPP is stricter than 250% of necessary channel bandwidth rule in ITU-R SM.329.</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 xml:space="preserve">Proposal 14: It is proposed to discuss the boundary between out-of-band emissions and spurious emissions domain. </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If we further look at SM.329 regulation, we can found that  </w:t>
      </w:r>
    </w:p>
    <w:p>
      <w:pPr>
        <w:keepNext w:val="0"/>
        <w:keepLines w:val="0"/>
        <w:pageBreakBefore w:val="0"/>
        <w:widowControl w:val="0"/>
        <w:kinsoku/>
        <w:wordWrap/>
        <w:topLinePunct w:val="0"/>
        <w:bidi w:val="0"/>
        <w:jc w:val="both"/>
        <w:rPr>
          <w:rFonts w:hint="eastAsia"/>
          <w:i/>
          <w:iCs/>
          <w:sz w:val="20"/>
          <w:szCs w:val="20"/>
          <w:highlight w:val="none"/>
          <w:lang w:val="en-US" w:eastAsia="zh-CN"/>
        </w:rPr>
      </w:pPr>
      <w:r>
        <w:rPr>
          <w:rFonts w:hint="default"/>
          <w:i/>
          <w:iCs/>
          <w:sz w:val="20"/>
          <w:szCs w:val="20"/>
          <w:highlight w:val="none"/>
          <w:lang w:val="en-US" w:eastAsia="zh-CN"/>
        </w:rPr>
        <w:t>“</w:t>
      </w:r>
      <w:r>
        <w:rPr>
          <w:rFonts w:hint="eastAsia"/>
          <w:i/>
          <w:iCs/>
          <w:sz w:val="20"/>
          <w:szCs w:val="20"/>
          <w:highlight w:val="none"/>
          <w:lang w:val="en-US" w:eastAsia="zh-CN"/>
        </w:rPr>
        <w:t>In case of very narrow or wide bandwidth, this method of determining the spurious domain might not be appropriate and Recommendation ITU-R SM.1539 provides further guidance.</w:t>
      </w:r>
    </w:p>
    <w:p>
      <w:pPr>
        <w:keepNext w:val="0"/>
        <w:keepLines w:val="0"/>
        <w:pageBreakBefore w:val="0"/>
        <w:widowControl w:val="0"/>
        <w:kinsoku/>
        <w:wordWrap/>
        <w:topLinePunct w:val="0"/>
        <w:bidi w:val="0"/>
        <w:jc w:val="both"/>
        <w:rPr>
          <w:rFonts w:hint="eastAsia"/>
          <w:i/>
          <w:iCs/>
          <w:sz w:val="20"/>
          <w:szCs w:val="20"/>
          <w:highlight w:val="none"/>
          <w:lang w:val="en-US" w:eastAsia="zh-CN"/>
        </w:rPr>
      </w:pPr>
      <w:r>
        <w:rPr>
          <w:rFonts w:hint="default"/>
          <w:i/>
          <w:iCs/>
          <w:sz w:val="20"/>
          <w:szCs w:val="20"/>
          <w:highlight w:val="none"/>
          <w:lang w:val="en-US" w:eastAsia="zh-CN"/>
        </w:rPr>
        <w:t>Additional guidance concerning the necessary bandwidth required for determining the boundary between the out-of-band and spurious domains can be found in recommends 2.3 of Recommendation ITU-R SM.1541.”</w:t>
      </w:r>
      <w:r>
        <w:rPr>
          <w:rFonts w:hint="eastAsia"/>
          <w:i/>
          <w:iCs/>
          <w:sz w:val="20"/>
          <w:szCs w:val="20"/>
          <w:highlight w:val="none"/>
          <w:lang w:val="en-US" w:eastAsia="zh-CN"/>
        </w:rPr>
        <w:t xml:space="preserve"> </w:t>
      </w:r>
    </w:p>
    <w:p>
      <w:pPr>
        <w:keepNext w:val="0"/>
        <w:keepLines w:val="0"/>
        <w:pageBreakBefore w:val="0"/>
        <w:widowControl w:val="0"/>
        <w:kinsoku/>
        <w:wordWrap/>
        <w:topLinePunct w:val="0"/>
        <w:bidi w:val="0"/>
        <w:jc w:val="both"/>
        <w:rPr>
          <w:rFonts w:hint="eastAsia"/>
          <w:sz w:val="20"/>
          <w:szCs w:val="20"/>
          <w:highlight w:val="none"/>
          <w:lang w:val="en-US" w:eastAsia="zh-CN"/>
        </w:rPr>
      </w:pPr>
      <w:r>
        <w:rPr>
          <w:rFonts w:hint="eastAsia"/>
          <w:sz w:val="20"/>
          <w:szCs w:val="20"/>
          <w:highlight w:val="none"/>
          <w:lang w:val="en-US" w:eastAsia="zh-CN"/>
        </w:rPr>
        <w:t xml:space="preserve">And in SM.1539, it states that </w:t>
      </w:r>
    </w:p>
    <w:p>
      <w:pPr>
        <w:keepNext w:val="0"/>
        <w:keepLines w:val="0"/>
        <w:pageBreakBefore w:val="0"/>
        <w:widowControl w:val="0"/>
        <w:kinsoku/>
        <w:wordWrap/>
        <w:topLinePunct w:val="0"/>
        <w:bidi w:val="0"/>
        <w:jc w:val="both"/>
        <w:rPr>
          <w:rFonts w:hint="default"/>
          <w:i/>
          <w:iCs/>
          <w:sz w:val="20"/>
          <w:szCs w:val="20"/>
          <w:highlight w:val="none"/>
          <w:lang w:val="en-US" w:eastAsia="zh-CN"/>
        </w:rPr>
      </w:pPr>
      <w:r>
        <w:rPr>
          <w:rFonts w:hint="default"/>
          <w:i/>
          <w:iCs/>
          <w:sz w:val="20"/>
          <w:szCs w:val="20"/>
          <w:highlight w:val="none"/>
          <w:lang w:val="en-US" w:eastAsia="zh-CN"/>
        </w:rPr>
        <w:t>“For some narrow-band emissions, it is appropriate to avoid specifying OoB and spurious domains in very narrow bandwidths near to the emission, which will usually be under the control of the same operator. On the other hand, it is necessary to restrict the linear growth of the OoB domain versus necessary bandwidth for wideband emissions, in order to restrict the incursion of the OoB domain into adjacent bands</w:t>
      </w:r>
      <w:r>
        <w:rPr>
          <w:rFonts w:hint="eastAsia"/>
          <w:i/>
          <w:iCs/>
          <w:sz w:val="20"/>
          <w:szCs w:val="20"/>
          <w:highlight w:val="none"/>
          <w:lang w:val="en-US" w:eastAsia="zh-CN"/>
        </w:rPr>
        <w:t>.</w:t>
      </w:r>
      <w:r>
        <w:rPr>
          <w:rFonts w:hint="default"/>
          <w:i/>
          <w:iCs/>
          <w:sz w:val="20"/>
          <w:szCs w:val="20"/>
          <w:highlight w:val="none"/>
          <w:lang w:val="en-US" w:eastAsia="zh-CN"/>
        </w:rPr>
        <w:t>”</w:t>
      </w:r>
    </w:p>
    <w:p>
      <w:pPr>
        <w:keepNext w:val="0"/>
        <w:keepLines w:val="0"/>
        <w:pageBreakBefore w:val="0"/>
        <w:widowControl w:val="0"/>
        <w:kinsoku/>
        <w:wordWrap/>
        <w:topLinePunct w:val="0"/>
        <w:bidi w:val="0"/>
        <w:jc w:val="both"/>
        <w:rPr>
          <w:rFonts w:hint="default"/>
          <w:i/>
          <w:iCs/>
          <w:sz w:val="20"/>
          <w:szCs w:val="20"/>
          <w:highlight w:val="none"/>
          <w:lang w:val="en-US" w:eastAsia="zh-CN"/>
        </w:rPr>
      </w:pPr>
      <w:r>
        <w:rPr>
          <w:rFonts w:hint="default"/>
          <w:i/>
          <w:iCs/>
          <w:sz w:val="20"/>
          <w:szCs w:val="20"/>
          <w:highlight w:val="none"/>
          <w:lang w:val="en-US" w:eastAsia="zh-CN"/>
        </w:rPr>
        <w:t>“Table 2 provides guidance for determining general values of separation between the centre frequency of an emission and the beginning of its spurious domain. A minimum separation applies to the narrow-band case, while the normal and wideband cases have separate formulas for determining the boundary”</w:t>
      </w:r>
    </w:p>
    <w:p>
      <w:pPr>
        <w:keepNext w:val="0"/>
        <w:keepLines w:val="0"/>
        <w:pageBreakBefore w:val="0"/>
        <w:widowControl w:val="0"/>
        <w:kinsoku/>
        <w:wordWrap/>
        <w:topLinePunct w:val="0"/>
        <w:bidi w:val="0"/>
        <w:jc w:val="center"/>
        <w:rPr>
          <w:rFonts w:hint="default"/>
          <w:sz w:val="20"/>
          <w:szCs w:val="20"/>
          <w:highlight w:val="none"/>
          <w:lang w:val="en-US" w:eastAsia="zh-CN"/>
        </w:rPr>
      </w:pPr>
      <w:r>
        <w:rPr>
          <w:sz w:val="20"/>
          <w:szCs w:val="20"/>
          <w:highlight w:val="none"/>
        </w:rPr>
        <w:drawing>
          <wp:inline distT="0" distB="0" distL="114300" distR="114300">
            <wp:extent cx="3397885" cy="1959610"/>
            <wp:effectExtent l="42545" t="4445" r="49530" b="933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stretch>
                      <a:fillRect/>
                    </a:stretch>
                  </pic:blipFill>
                  <pic:spPr>
                    <a:xfrm>
                      <a:off x="0" y="0"/>
                      <a:ext cx="3397885" cy="1959610"/>
                    </a:xfrm>
                    <a:prstGeom prst="rect">
                      <a:avLst/>
                    </a:prstGeom>
                    <a:noFill/>
                    <a:ln>
                      <a:noFill/>
                    </a:ln>
                    <a:effectLst>
                      <a:outerShdw blurRad="50800" dist="38100" dir="5400000" algn="t" rotWithShape="0">
                        <a:prstClr val="black">
                          <a:alpha val="40000"/>
                        </a:prstClr>
                      </a:outerShdw>
                    </a:effectLst>
                  </pic:spPr>
                </pic:pic>
              </a:graphicData>
            </a:graphic>
          </wp:inline>
        </w:drawing>
      </w:r>
    </w:p>
    <w:p>
      <w:pPr>
        <w:keepNext w:val="0"/>
        <w:keepLines w:val="0"/>
        <w:pageBreakBefore w:val="0"/>
        <w:widowControl w:val="0"/>
        <w:kinsoku/>
        <w:wordWrap/>
        <w:topLinePunct w:val="0"/>
        <w:bidi w:val="0"/>
        <w:jc w:val="both"/>
        <w:rPr>
          <w:rFonts w:hint="default"/>
          <w:sz w:val="20"/>
          <w:szCs w:val="20"/>
          <w:highlight w:val="none"/>
          <w:lang w:val="en-US" w:eastAsia="zh-CN"/>
        </w:rPr>
      </w:pPr>
      <w:r>
        <w:rPr>
          <w:rFonts w:hint="eastAsia"/>
          <w:sz w:val="20"/>
          <w:szCs w:val="20"/>
          <w:highlight w:val="none"/>
          <w:lang w:val="en-US" w:eastAsia="zh-CN"/>
        </w:rPr>
        <w:t xml:space="preserve">As mentioned in the table above, </w:t>
      </w:r>
      <w:r>
        <w:rPr>
          <w:rFonts w:hint="eastAsia"/>
          <w:i/>
          <w:iCs/>
          <w:sz w:val="20"/>
          <w:szCs w:val="20"/>
          <w:highlight w:val="none"/>
          <w:lang w:val="en-US" w:eastAsia="zh-CN"/>
        </w:rPr>
        <w:t>B</w:t>
      </w:r>
      <w:r>
        <w:rPr>
          <w:rFonts w:hint="eastAsia"/>
          <w:i/>
          <w:iCs/>
          <w:sz w:val="20"/>
          <w:szCs w:val="20"/>
          <w:highlight w:val="none"/>
          <w:vertAlign w:val="subscript"/>
          <w:lang w:val="en-US" w:eastAsia="zh-CN"/>
        </w:rPr>
        <w:t>N</w:t>
      </w:r>
      <w:r>
        <w:rPr>
          <w:rFonts w:hint="eastAsia"/>
          <w:sz w:val="20"/>
          <w:szCs w:val="20"/>
          <w:highlight w:val="none"/>
          <w:lang w:val="en-US" w:eastAsia="zh-CN"/>
        </w:rPr>
        <w:t xml:space="preserve"> refers to the necessary bandwidth. It can be observed that OOB boundary is not uniformly defined as 250% of necessary bandwidth in SM.329, SM.1539 and SM.1541. Specifically, for wide band, OOB boundary is set to less than 250% of necessary bandwidth. Therefore, we propose to take SM.1539 and SM.1541 into consideration when discussing OOB boundary in 6GR.</w:t>
      </w:r>
    </w:p>
    <w:p>
      <w:pPr>
        <w:keepNext w:val="0"/>
        <w:keepLines w:val="0"/>
        <w:pageBreakBefore w:val="0"/>
        <w:widowControl w:val="0"/>
        <w:kinsoku/>
        <w:wordWrap/>
        <w:topLinePunct w:val="0"/>
        <w:bidi w:val="0"/>
        <w:jc w:val="both"/>
        <w:rPr>
          <w:rFonts w:hint="eastAsia"/>
          <w:b/>
          <w:bCs/>
          <w:sz w:val="20"/>
          <w:szCs w:val="20"/>
          <w:highlight w:val="none"/>
          <w:lang w:val="en-US" w:eastAsia="zh-CN"/>
        </w:rPr>
      </w:pPr>
      <w:r>
        <w:rPr>
          <w:rFonts w:hint="eastAsia"/>
          <w:b/>
          <w:bCs/>
          <w:sz w:val="20"/>
          <w:szCs w:val="20"/>
          <w:highlight w:val="none"/>
          <w:lang w:val="en-US" w:eastAsia="zh-CN"/>
        </w:rPr>
        <w:t>Observation 12: OOB boundary is not entirely defined as 250% of necessary bandwidth in SM.329, SM.1539 and SM.1541, and OOB boundary is smaller than 250% of necessary bandwidth for wide band.</w:t>
      </w:r>
    </w:p>
    <w:p>
      <w:pPr>
        <w:keepNext w:val="0"/>
        <w:keepLines w:val="0"/>
        <w:pageBreakBefore w:val="0"/>
        <w:widowControl w:val="0"/>
        <w:kinsoku/>
        <w:wordWrap/>
        <w:topLinePunct w:val="0"/>
        <w:bidi w:val="0"/>
        <w:jc w:val="both"/>
        <w:rPr>
          <w:rFonts w:hint="default"/>
          <w:b/>
          <w:bCs/>
          <w:sz w:val="20"/>
          <w:szCs w:val="20"/>
          <w:highlight w:val="none"/>
          <w:lang w:val="en-US" w:eastAsia="zh-CN"/>
        </w:rPr>
      </w:pPr>
      <w:r>
        <w:rPr>
          <w:rFonts w:hint="eastAsia"/>
          <w:b/>
          <w:bCs/>
          <w:sz w:val="20"/>
          <w:szCs w:val="20"/>
          <w:highlight w:val="none"/>
          <w:lang w:val="en-US" w:eastAsia="zh-CN"/>
        </w:rPr>
        <w:t>Proposal 15: It is proposed to take SM.1539 and SM.1541 into consideration when discussing OOB boundary in 6GR.</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outlineLvl w:val="1"/>
        <w:rPr>
          <w:rFonts w:hint="default" w:cs="Times New Roman"/>
          <w:b/>
          <w:bCs/>
          <w:i w:val="0"/>
          <w:iCs w:val="0"/>
          <w:kern w:val="0"/>
          <w:sz w:val="20"/>
          <w:highlight w:val="none"/>
          <w:lang w:val="en-US" w:eastAsia="zh-CN"/>
        </w:rPr>
      </w:pPr>
      <w:r>
        <w:rPr>
          <w:rFonts w:hint="eastAsia" w:cs="Times New Roman"/>
          <w:b/>
          <w:bCs/>
          <w:i w:val="0"/>
          <w:iCs w:val="0"/>
          <w:kern w:val="0"/>
          <w:sz w:val="20"/>
          <w:highlight w:val="none"/>
          <w:lang w:val="en-US" w:eastAsia="zh-CN"/>
        </w:rPr>
        <w:t>2.4</w:t>
      </w:r>
      <w:r>
        <w:rPr>
          <w:rFonts w:hint="eastAsia" w:cs="Times New Roman"/>
          <w:b/>
          <w:bCs/>
          <w:i w:val="0"/>
          <w:iCs w:val="0"/>
          <w:kern w:val="0"/>
          <w:sz w:val="20"/>
          <w:highlight w:val="none"/>
          <w:lang w:val="en-US" w:eastAsia="zh-CN"/>
        </w:rPr>
        <w:tab/>
      </w:r>
      <w:r>
        <w:rPr>
          <w:rFonts w:hint="eastAsia" w:cs="Times New Roman"/>
          <w:b/>
          <w:bCs/>
          <w:i w:val="0"/>
          <w:iCs w:val="0"/>
          <w:kern w:val="0"/>
          <w:sz w:val="20"/>
          <w:highlight w:val="none"/>
          <w:lang w:val="en-US" w:eastAsia="zh-CN"/>
        </w:rPr>
        <w:t>RF requirements for new channel bandwidth</w:t>
      </w:r>
    </w:p>
    <w:p>
      <w:pPr>
        <w:keepNext w:val="0"/>
        <w:keepLines w:val="0"/>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i w:val="0"/>
          <w:iCs w:val="0"/>
          <w:kern w:val="0"/>
          <w:sz w:val="20"/>
          <w:highlight w:val="none"/>
          <w:lang w:val="en-US" w:eastAsia="zh-CN"/>
        </w:rPr>
      </w:pPr>
      <w:r>
        <w:rPr>
          <w:rFonts w:hint="eastAsia" w:cs="Times New Roman"/>
          <w:i w:val="0"/>
          <w:iCs w:val="0"/>
          <w:kern w:val="0"/>
          <w:sz w:val="20"/>
          <w:highlight w:val="none"/>
          <w:lang w:val="en-US" w:eastAsia="zh-CN"/>
        </w:rPr>
        <w:t>According to SID, wider channel bandwidth (at least 200MHz) support for 6G deployments at least above 2 GHz, around 7 GHz. It is no doubt that the a</w:t>
      </w:r>
      <w:r>
        <w:rPr>
          <w:rFonts w:hint="default" w:cs="Times New Roman"/>
          <w:i w:val="0"/>
          <w:iCs w:val="0"/>
          <w:kern w:val="0"/>
          <w:sz w:val="20"/>
          <w:highlight w:val="none"/>
          <w:lang w:val="en-US" w:eastAsia="zh-CN"/>
        </w:rPr>
        <w:t>ll of the related Tx/Rx requirements</w:t>
      </w:r>
      <w:r>
        <w:rPr>
          <w:rFonts w:hint="eastAsia" w:cs="Times New Roman"/>
          <w:i w:val="0"/>
          <w:iCs w:val="0"/>
          <w:kern w:val="0"/>
          <w:sz w:val="20"/>
          <w:highlight w:val="none"/>
          <w:lang w:val="en-US" w:eastAsia="zh-CN"/>
        </w:rPr>
        <w:t xml:space="preserve"> for the new channel bandwidths should be discussed. As we discussed in section 2.2, we think it is important to u</w:t>
      </w:r>
      <w:r>
        <w:rPr>
          <w:rFonts w:hint="default" w:cs="Times New Roman"/>
          <w:i w:val="0"/>
          <w:iCs w:val="0"/>
          <w:kern w:val="0"/>
          <w:sz w:val="20"/>
          <w:highlight w:val="none"/>
          <w:lang w:val="en-US" w:eastAsia="zh-CN"/>
        </w:rPr>
        <w:t>se practical RF parameters/PA model assumption for MPR</w:t>
      </w:r>
      <w:r>
        <w:rPr>
          <w:rFonts w:hint="eastAsia" w:cs="Times New Roman"/>
          <w:i w:val="0"/>
          <w:iCs w:val="0"/>
          <w:kern w:val="0"/>
          <w:sz w:val="20"/>
          <w:highlight w:val="none"/>
          <w:lang w:val="en-US" w:eastAsia="zh-CN"/>
        </w:rPr>
        <w:t>/A-MPR</w:t>
      </w:r>
      <w:r>
        <w:rPr>
          <w:rFonts w:hint="default" w:cs="Times New Roman"/>
          <w:i w:val="0"/>
          <w:iCs w:val="0"/>
          <w:kern w:val="0"/>
          <w:sz w:val="20"/>
          <w:highlight w:val="none"/>
          <w:lang w:val="en-US" w:eastAsia="zh-CN"/>
        </w:rPr>
        <w:t xml:space="preserve"> requirement</w:t>
      </w:r>
      <w:r>
        <w:rPr>
          <w:rFonts w:hint="eastAsia" w:cs="Times New Roman"/>
          <w:i w:val="0"/>
          <w:iCs w:val="0"/>
          <w:kern w:val="0"/>
          <w:sz w:val="20"/>
          <w:highlight w:val="none"/>
          <w:lang w:val="en-US" w:eastAsia="zh-CN"/>
        </w:rPr>
        <w:t xml:space="preserve"> considering more server </w:t>
      </w:r>
      <w:r>
        <w:rPr>
          <w:rFonts w:hint="default" w:cs="Times New Roman"/>
          <w:i w:val="0"/>
          <w:iCs w:val="0"/>
          <w:kern w:val="0"/>
          <w:sz w:val="20"/>
          <w:highlight w:val="none"/>
          <w:lang w:val="en-US" w:eastAsia="zh-CN"/>
        </w:rPr>
        <w:t>PA memory effects</w:t>
      </w:r>
      <w:r>
        <w:rPr>
          <w:rFonts w:hint="eastAsia" w:cs="Times New Roman"/>
          <w:i w:val="0"/>
          <w:iCs w:val="0"/>
          <w:kern w:val="0"/>
          <w:sz w:val="20"/>
          <w:highlight w:val="none"/>
          <w:lang w:val="en-US" w:eastAsia="zh-CN"/>
        </w:rPr>
        <w:t xml:space="preserve"> would be foreseen</w:t>
      </w:r>
      <w:r>
        <w:rPr>
          <w:rFonts w:hint="default" w:cs="Times New Roman"/>
          <w:i w:val="0"/>
          <w:iCs w:val="0"/>
          <w:kern w:val="0"/>
          <w:sz w:val="20"/>
          <w:highlight w:val="none"/>
          <w:lang w:val="en-US" w:eastAsia="zh-CN"/>
        </w:rPr>
        <w:t xml:space="preserve"> for the large channel bandwidth</w:t>
      </w:r>
      <w:r>
        <w:rPr>
          <w:rFonts w:hint="eastAsia" w:cs="Times New Roman"/>
          <w:i w:val="0"/>
          <w:iCs w:val="0"/>
          <w:kern w:val="0"/>
          <w:sz w:val="20"/>
          <w:highlight w:val="none"/>
          <w:lang w:val="en-US"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olor w:val="000000" w:themeColor="text1"/>
          <w:sz w:val="20"/>
          <w:szCs w:val="20"/>
          <w:highlight w:val="none"/>
          <w:lang w:val="en-US" w:eastAsia="zh-CN"/>
          <w14:textFill>
            <w14:solidFill>
              <w14:schemeClr w14:val="tx1"/>
            </w14:solidFill>
          </w14:textFill>
        </w:rPr>
      </w:pPr>
      <w:r>
        <w:rPr>
          <w:rFonts w:hint="eastAsia" w:cs="Times New Roman"/>
          <w:i w:val="0"/>
          <w:iCs w:val="0"/>
          <w:kern w:val="0"/>
          <w:sz w:val="20"/>
          <w:szCs w:val="20"/>
          <w:highlight w:val="none"/>
          <w:lang w:val="en-US" w:eastAsia="zh-CN"/>
        </w:rPr>
        <w:t xml:space="preserve">Also, for </w:t>
      </w:r>
      <w:r>
        <w:rPr>
          <w:color w:val="000000" w:themeColor="text1"/>
          <w:sz w:val="20"/>
          <w:szCs w:val="20"/>
          <w:highlight w:val="none"/>
          <w14:textFill>
            <w14:solidFill>
              <w14:schemeClr w14:val="tx1"/>
            </w14:solidFill>
          </w14:textFill>
        </w:rPr>
        <w:t>range between FR1 and FR2-1 (including around ~7GHz),</w:t>
      </w:r>
      <w:r>
        <w:rPr>
          <w:rFonts w:hint="eastAsia"/>
          <w:color w:val="000000" w:themeColor="text1"/>
          <w:sz w:val="20"/>
          <w:szCs w:val="20"/>
          <w:highlight w:val="none"/>
          <w:lang w:val="en-US" w:eastAsia="zh-CN"/>
          <w14:textFill>
            <w14:solidFill>
              <w14:schemeClr w14:val="tx1"/>
            </w14:solidFill>
          </w14:textFill>
        </w:rPr>
        <w:t xml:space="preserve"> the UE RF architecture and requirements should be studied based on TR38.921/38.922, including wider channel bandwidth(at least 200MHz).</w:t>
      </w:r>
    </w:p>
    <w:p>
      <w:pPr>
        <w:keepNext w:val="0"/>
        <w:keepLines w:val="0"/>
        <w:pageBreakBefore w:val="0"/>
        <w:widowControl w:val="0"/>
        <w:numPr>
          <w:ilvl w:val="-1"/>
          <w:numId w:val="0"/>
        </w:numPr>
        <w:kinsoku/>
        <w:wordWrap/>
        <w:overflowPunct/>
        <w:topLinePunct w:val="0"/>
        <w:autoSpaceDE/>
        <w:autoSpaceDN/>
        <w:bidi w:val="0"/>
        <w:adjustRightInd/>
        <w:snapToGrid/>
        <w:spacing w:after="0"/>
        <w:jc w:val="both"/>
        <w:textAlignment w:val="auto"/>
        <w:rPr>
          <w:rFonts w:hint="default"/>
          <w:color w:val="000000" w:themeColor="text1"/>
          <w:sz w:val="20"/>
          <w:szCs w:val="20"/>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Moreover, if there is wider than 400MHz channel bandwidth is introduced for FR2-1, then a</w:t>
      </w:r>
      <w:r>
        <w:rPr>
          <w:rFonts w:hint="default"/>
          <w:color w:val="000000" w:themeColor="text1"/>
          <w:sz w:val="20"/>
          <w:szCs w:val="20"/>
          <w:highlight w:val="none"/>
          <w:lang w:val="en-US" w:eastAsia="zh-CN"/>
          <w14:textFill>
            <w14:solidFill>
              <w14:schemeClr w14:val="tx1"/>
            </w14:solidFill>
          </w14:textFill>
        </w:rPr>
        <w:t>ll of the related Tx/Rx requirements</w:t>
      </w:r>
      <w:r>
        <w:rPr>
          <w:rFonts w:hint="eastAsia"/>
          <w:color w:val="000000" w:themeColor="text1"/>
          <w:sz w:val="20"/>
          <w:szCs w:val="20"/>
          <w:highlight w:val="none"/>
          <w:lang w:val="en-US" w:eastAsia="zh-CN"/>
          <w14:textFill>
            <w14:solidFill>
              <w14:schemeClr w14:val="tx1"/>
            </w14:solidFill>
          </w14:textFill>
        </w:rPr>
        <w:t xml:space="preserve"> should be studied either.</w:t>
      </w:r>
    </w:p>
    <w:p>
      <w:pPr>
        <w:keepNext w:val="0"/>
        <w:keepLines w:val="0"/>
        <w:pageBreakBefore w:val="0"/>
        <w:widowControl w:val="0"/>
        <w:numPr>
          <w:ilvl w:val="-1"/>
          <w:numId w:val="0"/>
        </w:numPr>
        <w:kinsoku/>
        <w:wordWrap/>
        <w:overflowPunct/>
        <w:topLinePunct w:val="0"/>
        <w:autoSpaceDE/>
        <w:autoSpaceDN/>
        <w:bidi w:val="0"/>
        <w:adjustRightInd/>
        <w:snapToGrid/>
        <w:spacing w:after="0"/>
        <w:jc w:val="both"/>
        <w:textAlignment w:val="auto"/>
        <w:rPr>
          <w:rFonts w:hint="default" w:cs="Times New Roman"/>
          <w:i w:val="0"/>
          <w:iCs w:val="0"/>
          <w:kern w:val="0"/>
          <w:sz w:val="20"/>
          <w:highlight w:val="none"/>
          <w:lang w:val="en-US" w:eastAsia="zh-CN"/>
        </w:rPr>
      </w:pPr>
      <w:r>
        <w:rPr>
          <w:rFonts w:hint="eastAsia"/>
          <w:b/>
          <w:bCs/>
          <w:sz w:val="20"/>
          <w:szCs w:val="20"/>
          <w:highlight w:val="none"/>
          <w:vertAlign w:val="baseline"/>
          <w:lang w:val="en-US" w:eastAsia="zh-CN"/>
        </w:rPr>
        <w:t xml:space="preserve">Proposal 16: </w:t>
      </w:r>
      <w:r>
        <w:rPr>
          <w:rFonts w:hint="eastAsia" w:cs="Times New Roman"/>
          <w:b/>
          <w:bCs/>
          <w:i w:val="0"/>
          <w:iCs w:val="0"/>
          <w:kern w:val="0"/>
          <w:sz w:val="20"/>
          <w:highlight w:val="none"/>
          <w:lang w:val="en-US" w:eastAsia="zh-CN"/>
        </w:rPr>
        <w:t>A</w:t>
      </w:r>
      <w:r>
        <w:rPr>
          <w:rFonts w:hint="default" w:cs="Times New Roman"/>
          <w:b/>
          <w:bCs/>
          <w:i w:val="0"/>
          <w:iCs w:val="0"/>
          <w:kern w:val="0"/>
          <w:sz w:val="20"/>
          <w:highlight w:val="none"/>
          <w:lang w:val="en-US" w:eastAsia="zh-CN"/>
        </w:rPr>
        <w:t>ll of the related Tx/Rx requirements</w:t>
      </w:r>
      <w:r>
        <w:rPr>
          <w:rFonts w:hint="eastAsia" w:cs="Times New Roman"/>
          <w:b/>
          <w:bCs/>
          <w:i w:val="0"/>
          <w:iCs w:val="0"/>
          <w:kern w:val="0"/>
          <w:sz w:val="20"/>
          <w:highlight w:val="none"/>
          <w:lang w:val="en-US" w:eastAsia="zh-CN"/>
        </w:rPr>
        <w:t xml:space="preserve"> for the new wider channel bandwidths should be studied based on </w:t>
      </w:r>
      <w:r>
        <w:rPr>
          <w:rFonts w:hint="default" w:cs="Times New Roman"/>
          <w:b/>
          <w:bCs/>
          <w:i w:val="0"/>
          <w:iCs w:val="0"/>
          <w:kern w:val="0"/>
          <w:sz w:val="20"/>
          <w:highlight w:val="none"/>
          <w:lang w:val="en-US" w:eastAsia="zh-CN"/>
        </w:rPr>
        <w:t>practical RF parameters/PA model assumption</w:t>
      </w:r>
      <w:r>
        <w:rPr>
          <w:rFonts w:hint="eastAsia" w:cs="Times New Roman"/>
          <w:b/>
          <w:bCs/>
          <w:i w:val="0"/>
          <w:iCs w:val="0"/>
          <w:kern w:val="0"/>
          <w:sz w:val="20"/>
          <w:highlight w:val="none"/>
          <w:lang w:val="en-US" w:eastAsia="zh-CN"/>
        </w:rPr>
        <w:t>.</w:t>
      </w:r>
      <w:r>
        <w:rPr>
          <w:rFonts w:hint="eastAsia" w:cs="Times New Roman"/>
          <w:i w:val="0"/>
          <w:iCs w:val="0"/>
          <w:kern w:val="0"/>
          <w:sz w:val="20"/>
          <w:highlight w:val="none"/>
          <w:lang w:val="en-US" w:eastAsia="zh-CN"/>
        </w:rPr>
        <w:t xml:space="preserve"> </w:t>
      </w:r>
    </w:p>
    <w:bookmarkEnd w:id="11"/>
    <w:bookmarkEnd w:id="12"/>
    <w:bookmarkEnd w:id="13"/>
    <w:bookmarkEnd w:id="14"/>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on the 6GR system parameters, </w:t>
      </w:r>
      <w:r>
        <w:rPr>
          <w:rFonts w:hint="eastAsia"/>
          <w:bCs/>
          <w:kern w:val="0"/>
          <w:sz w:val="20"/>
          <w:szCs w:val="20"/>
          <w:highlight w:val="none"/>
          <w:lang w:val="en-US" w:eastAsia="zh-CN"/>
        </w:rPr>
        <w:t>the conclusions are summarized below: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eastAsia="宋体" w:cs="Times New Roman"/>
          <w:b w:val="0"/>
          <w:bCs w:val="0"/>
          <w:i w:val="0"/>
          <w:iCs w:val="0"/>
          <w:caps w:val="0"/>
          <w:color w:val="000000"/>
          <w:spacing w:val="0"/>
          <w:sz w:val="20"/>
          <w:szCs w:val="20"/>
          <w:highlight w:val="none"/>
          <w:u w:val="single"/>
          <w:shd w:val="clear" w:fill="FFFFFF"/>
          <w:lang w:val="en-US" w:eastAsia="zh-CN"/>
        </w:rPr>
      </w:pPr>
      <w:r>
        <w:rPr>
          <w:rFonts w:hint="eastAsia" w:ascii="Times New Roman" w:hAnsi="Times New Roman" w:eastAsia="宋体" w:cs="Times New Roman"/>
          <w:b w:val="0"/>
          <w:bCs w:val="0"/>
          <w:i w:val="0"/>
          <w:iCs w:val="0"/>
          <w:caps w:val="0"/>
          <w:color w:val="000000"/>
          <w:spacing w:val="0"/>
          <w:sz w:val="20"/>
          <w:szCs w:val="20"/>
          <w:highlight w:val="none"/>
          <w:u w:val="single"/>
          <w:shd w:val="clear" w:fill="FFFFFF"/>
          <w:lang w:val="en-US" w:eastAsia="zh-CN"/>
        </w:rPr>
        <w:t>UL coverage</w:t>
      </w:r>
      <w:r>
        <w:rPr>
          <w:rFonts w:hint="eastAsia" w:cs="Times New Roman"/>
          <w:b w:val="0"/>
          <w:bCs w:val="0"/>
          <w:i w:val="0"/>
          <w:iCs w:val="0"/>
          <w:caps w:val="0"/>
          <w:color w:val="000000"/>
          <w:spacing w:val="0"/>
          <w:sz w:val="20"/>
          <w:szCs w:val="20"/>
          <w:highlight w:val="none"/>
          <w:u w:val="single"/>
          <w:shd w:val="clear" w:fill="FFFFFF"/>
          <w:lang w:val="en-US" w:eastAsia="zh-CN"/>
        </w:rPr>
        <w:t>:</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sz w:val="20"/>
          <w:szCs w:val="20"/>
          <w:highlight w:val="none"/>
          <w:lang w:val="en-US" w:eastAsia="zh-CN"/>
        </w:rPr>
        <w:t xml:space="preserve">Observation </w:t>
      </w:r>
      <w:r>
        <w:rPr>
          <w:rFonts w:hint="eastAsia" w:cs="Times New Roman"/>
          <w:b/>
          <w:bCs/>
          <w:sz w:val="20"/>
          <w:szCs w:val="20"/>
          <w:highlight w:val="none"/>
          <w:lang w:val="en-US" w:eastAsia="zh-CN"/>
        </w:rPr>
        <w:t>1</w:t>
      </w:r>
      <w:r>
        <w:rPr>
          <w:rFonts w:hint="eastAsia" w:ascii="Times New Roman" w:hAnsi="Times New Roman" w:cs="Times New Roman"/>
          <w:b/>
          <w:bCs/>
          <w:sz w:val="20"/>
          <w:szCs w:val="20"/>
          <w:highlight w:val="none"/>
          <w:lang w:val="en-US" w:eastAsia="zh-CN"/>
        </w:rPr>
        <w:t xml:space="preserve">. </w:t>
      </w:r>
      <w:r>
        <w:rPr>
          <w:rFonts w:hint="eastAsia" w:cs="Times New Roman"/>
          <w:b/>
          <w:bCs/>
          <w:sz w:val="20"/>
          <w:szCs w:val="20"/>
          <w:highlight w:val="none"/>
          <w:lang w:val="en-US" w:eastAsia="zh-CN"/>
        </w:rPr>
        <w:t>There were m</w:t>
      </w:r>
      <w:r>
        <w:rPr>
          <w:rFonts w:hint="eastAsia" w:ascii="Times New Roman" w:hAnsi="Times New Roman" w:cs="Times New Roman"/>
          <w:b/>
          <w:bCs/>
          <w:sz w:val="20"/>
          <w:szCs w:val="20"/>
          <w:highlight w:val="none"/>
          <w:lang w:val="en-US" w:eastAsia="zh-CN"/>
        </w:rPr>
        <w:t xml:space="preserve">any </w:t>
      </w:r>
      <w:r>
        <w:rPr>
          <w:rFonts w:hint="default" w:ascii="Times New Roman" w:hAnsi="Times New Roman" w:cs="Times New Roman"/>
          <w:b/>
          <w:bCs/>
          <w:sz w:val="20"/>
          <w:szCs w:val="20"/>
          <w:highlight w:val="none"/>
          <w:lang w:val="en-US" w:eastAsia="zh-CN"/>
        </w:rPr>
        <w:t>mechanisms introduced</w:t>
      </w:r>
      <w:r>
        <w:rPr>
          <w:rFonts w:hint="eastAsia" w:cs="Times New Roman"/>
          <w:b/>
          <w:bCs/>
          <w:sz w:val="20"/>
          <w:szCs w:val="20"/>
          <w:highlight w:val="none"/>
          <w:lang w:val="en-US" w:eastAsia="zh-CN"/>
        </w:rPr>
        <w:t xml:space="preserve"> to increase UL coverage in 5G NR.</w:t>
      </w:r>
    </w:p>
    <w:p>
      <w:pPr>
        <w:keepNext w:val="0"/>
        <w:keepLines w:val="0"/>
        <w:pageBreakBefore w:val="0"/>
        <w:widowControl w:val="0"/>
        <w:numPr>
          <w:ilvl w:val="255"/>
          <w:numId w:val="0"/>
        </w:numPr>
        <w:kinsoku/>
        <w:wordWrap/>
        <w:overflowPunct w:val="0"/>
        <w:topLinePunct w:val="0"/>
        <w:autoSpaceDE w:val="0"/>
        <w:autoSpaceDN w:val="0"/>
        <w:bidi w:val="0"/>
        <w:adjustRightInd w:val="0"/>
        <w:snapToGrid/>
        <w:spacing w:beforeLines="0" w:after="120" w:afterLines="0" w:line="240" w:lineRule="auto"/>
        <w:jc w:val="both"/>
        <w:textAlignment w:val="baseline"/>
        <w:rPr>
          <w:rFonts w:hint="eastAsia"/>
          <w:b/>
          <w:bCs/>
          <w:sz w:val="20"/>
          <w:szCs w:val="20"/>
          <w:highlight w:val="none"/>
          <w:lang w:val="en-US" w:eastAsia="zh-CN"/>
        </w:rPr>
      </w:pPr>
      <w:r>
        <w:rPr>
          <w:rFonts w:hint="eastAsia"/>
          <w:b/>
          <w:bCs/>
          <w:sz w:val="20"/>
          <w:szCs w:val="20"/>
          <w:highlight w:val="none"/>
          <w:lang w:val="en-US" w:eastAsia="zh-CN"/>
        </w:rPr>
        <w:t>Proposal 1: To consider the following aspects for 6GR coverage enhancement in RAN4:</w:t>
      </w:r>
    </w:p>
    <w:p>
      <w:pPr>
        <w:keepNext w:val="0"/>
        <w:keepLines w:val="0"/>
        <w:pageBreakBefore w:val="0"/>
        <w:widowControl w:val="0"/>
        <w:numPr>
          <w:ilvl w:val="255"/>
          <w:numId w:val="0"/>
        </w:numPr>
        <w:kinsoku/>
        <w:wordWrap/>
        <w:overflowPunct w:val="0"/>
        <w:topLinePunct w:val="0"/>
        <w:autoSpaceDE w:val="0"/>
        <w:autoSpaceDN w:val="0"/>
        <w:bidi w:val="0"/>
        <w:adjustRightInd w:val="0"/>
        <w:snapToGrid/>
        <w:spacing w:beforeLines="0" w:after="120" w:afterLines="0" w:line="240" w:lineRule="auto"/>
        <w:ind w:left="420" w:leftChars="0" w:firstLine="420" w:firstLineChars="0"/>
        <w:jc w:val="both"/>
        <w:textAlignment w:val="baseline"/>
        <w:rPr>
          <w:rFonts w:hint="default"/>
          <w:b/>
          <w:bCs/>
          <w:sz w:val="20"/>
          <w:szCs w:val="20"/>
          <w:highlight w:val="none"/>
          <w:lang w:val="en-US" w:eastAsia="zh-CN"/>
        </w:rPr>
      </w:pPr>
      <w:r>
        <w:rPr>
          <w:rFonts w:hint="eastAsia"/>
          <w:b/>
          <w:bCs/>
          <w:sz w:val="20"/>
          <w:szCs w:val="20"/>
          <w:highlight w:val="none"/>
          <w:lang w:val="en-US" w:eastAsia="zh-CN"/>
        </w:rPr>
        <w:t xml:space="preserve">- Large array UL MIMO </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ind w:left="420" w:leftChars="0" w:firstLine="420" w:firstLineChars="0"/>
        <w:jc w:val="both"/>
        <w:textAlignment w:val="auto"/>
        <w:rPr>
          <w:rFonts w:hint="default"/>
          <w:b/>
          <w:bCs/>
          <w:highlight w:val="none"/>
          <w:lang w:val="en-US" w:eastAsia="zh-CN"/>
        </w:rPr>
      </w:pPr>
      <w:r>
        <w:rPr>
          <w:rFonts w:hint="eastAsia"/>
          <w:b/>
          <w:bCs/>
          <w:sz w:val="20"/>
          <w:szCs w:val="20"/>
          <w:highlight w:val="none"/>
          <w:lang w:val="en-US" w:eastAsia="zh-CN"/>
        </w:rPr>
        <w:t>- Coherent UL MIMO</w:t>
      </w:r>
    </w:p>
    <w:p>
      <w:pPr>
        <w:keepNext w:val="0"/>
        <w:keepLines w:val="0"/>
        <w:pageBreakBefore w:val="0"/>
        <w:widowControl w:val="0"/>
        <w:numPr>
          <w:ilvl w:val="255"/>
          <w:numId w:val="0"/>
        </w:numPr>
        <w:shd w:val="clear"/>
        <w:kinsoku/>
        <w:wordWrap/>
        <w:overflowPunct w:val="0"/>
        <w:topLinePunct w:val="0"/>
        <w:autoSpaceDE w:val="0"/>
        <w:autoSpaceDN w:val="0"/>
        <w:bidi w:val="0"/>
        <w:adjustRightInd w:val="0"/>
        <w:snapToGrid/>
        <w:spacing w:beforeLines="0" w:after="120" w:afterLines="0" w:line="240" w:lineRule="auto"/>
        <w:ind w:left="420" w:firstLine="420"/>
        <w:jc w:val="both"/>
        <w:textAlignment w:val="baseline"/>
        <w:rPr>
          <w:rFonts w:hint="eastAsia"/>
          <w:b/>
          <w:bCs/>
          <w:highlight w:val="none"/>
          <w:lang w:val="en-US" w:eastAsia="zh-CN"/>
        </w:rPr>
      </w:pPr>
      <w:r>
        <w:rPr>
          <w:rFonts w:hint="eastAsia"/>
          <w:b/>
          <w:bCs/>
          <w:highlight w:val="none"/>
          <w:lang w:val="en-US" w:eastAsia="zh-CN"/>
        </w:rPr>
        <w:t>- Low PAPR waveform (FDSS) for high order modulation and CP-OFDM</w:t>
      </w:r>
    </w:p>
    <w:p>
      <w:pPr>
        <w:keepNext w:val="0"/>
        <w:keepLines w:val="0"/>
        <w:pageBreakBefore w:val="0"/>
        <w:widowControl w:val="0"/>
        <w:numPr>
          <w:ilvl w:val="255"/>
          <w:numId w:val="0"/>
        </w:numPr>
        <w:shd w:val="clear"/>
        <w:kinsoku/>
        <w:wordWrap/>
        <w:overflowPunct w:val="0"/>
        <w:topLinePunct w:val="0"/>
        <w:autoSpaceDE w:val="0"/>
        <w:autoSpaceDN w:val="0"/>
        <w:bidi w:val="0"/>
        <w:adjustRightInd w:val="0"/>
        <w:snapToGrid/>
        <w:spacing w:beforeLines="0" w:after="120" w:afterLines="0" w:line="240" w:lineRule="auto"/>
        <w:ind w:left="420" w:firstLine="420"/>
        <w:jc w:val="both"/>
        <w:textAlignment w:val="baseline"/>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pPr>
      <w:r>
        <w:rPr>
          <w:rFonts w:hint="eastAsia"/>
          <w:b/>
          <w:bCs/>
          <w:sz w:val="20"/>
          <w:szCs w:val="20"/>
          <w:highlight w:val="none"/>
          <w:lang w:val="en-US" w:eastAsia="zh-CN"/>
        </w:rPr>
        <w:t>- Relax EVM/MPR requirements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ascii="Times New Roman" w:hAnsi="Times New Roman" w:eastAsia="宋体" w:cs="Times New Roman"/>
          <w:b w:val="0"/>
          <w:bCs w:val="0"/>
          <w:i w:val="0"/>
          <w:iCs w:val="0"/>
          <w:caps w:val="0"/>
          <w:color w:val="000000"/>
          <w:spacing w:val="0"/>
          <w:sz w:val="20"/>
          <w:szCs w:val="20"/>
          <w:highlight w:val="none"/>
          <w:u w:val="single"/>
          <w:shd w:val="clear" w:fill="FFFFFF"/>
          <w:lang w:val="en-US" w:eastAsia="zh-CN"/>
        </w:rPr>
      </w:pPr>
      <w:r>
        <w:rPr>
          <w:rFonts w:hint="eastAsia" w:cs="Times New Roman"/>
          <w:b w:val="0"/>
          <w:bCs w:val="0"/>
          <w:i w:val="0"/>
          <w:iCs w:val="0"/>
          <w:color w:val="000000"/>
          <w:kern w:val="2"/>
          <w:sz w:val="20"/>
          <w:highlight w:val="none"/>
          <w:u w:val="single"/>
          <w:shd w:val="clear" w:fill="FFFFFF"/>
          <w:lang w:val="en-US" w:eastAsia="zh-CN"/>
        </w:rPr>
        <w:t>UE RF capabilities:</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Proposal 2: To study 1*29dBm PA to support PC1.5 1Tx for handheld UE in 6GR.</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Observation 2. For single band, the current power class definition in 5G may constrain the UE maximum output power, especially for UL MIMO.</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Observation 3. Introduce too many power classes would cause power class fragment and complexity for the requirements definition.</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Proposal 3. For 6GR, to discuss the power class framework to reflect the PA capability for single band, especially for UL MIMO.</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4. To consider high power class like PC2 as a default power class for high TDD band such as around 7GHz in 6GR.</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Observation 4. In NR, the IE</w:t>
      </w:r>
      <w:r>
        <w:rPr>
          <w:rFonts w:hint="eastAsia"/>
          <w:b/>
          <w:bCs/>
          <w:i/>
          <w:iCs/>
          <w:sz w:val="20"/>
          <w:szCs w:val="20"/>
          <w:highlight w:val="none"/>
          <w:lang w:val="en-US" w:eastAsia="zh-CN"/>
        </w:rPr>
        <w:t xml:space="preserve"> higherPowerLimit-r17</w:t>
      </w:r>
      <w:r>
        <w:rPr>
          <w:rFonts w:hint="eastAsia"/>
          <w:b/>
          <w:bCs/>
          <w:i w:val="0"/>
          <w:iCs w:val="0"/>
          <w:sz w:val="20"/>
          <w:szCs w:val="20"/>
          <w:highlight w:val="none"/>
          <w:lang w:val="en-US" w:eastAsia="zh-CN"/>
        </w:rPr>
        <w:t xml:space="preserve"> can enable higher maximum output power for inter-band combination, but it is not applied to pure intra-band contiguous/non-contiguous CA.</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Observation 5. For UL CA configuration in NR, the transmission power is restricted by the band combination power class.</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Proposal 5: For CA power class framework in 6GR, the restriction of the band combination power class should be released in the power class framework discussion.</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i w:val="0"/>
          <w:iCs w:val="0"/>
          <w:sz w:val="20"/>
          <w:szCs w:val="20"/>
          <w:highlight w:val="none"/>
          <w:lang w:val="en-US" w:eastAsia="zh-CN"/>
        </w:rPr>
      </w:pPr>
      <w:r>
        <w:rPr>
          <w:rFonts w:hint="eastAsia"/>
          <w:b/>
          <w:bCs/>
          <w:i w:val="0"/>
          <w:iCs w:val="0"/>
          <w:sz w:val="20"/>
          <w:szCs w:val="20"/>
          <w:highlight w:val="none"/>
          <w:lang w:val="en-US" w:eastAsia="zh-CN"/>
        </w:rPr>
        <w:t xml:space="preserve">Proposal 6: </w:t>
      </w:r>
      <w:r>
        <w:rPr>
          <w:rFonts w:hint="eastAsia"/>
          <w:b/>
          <w:bCs/>
          <w:sz w:val="20"/>
          <w:szCs w:val="20"/>
          <w:highlight w:val="none"/>
          <w:lang w:val="en-US" w:eastAsia="zh-CN"/>
        </w:rPr>
        <w:t>To discuss the necessity of band combination power class in 6GR.</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eastAsia" w:ascii="Times New Roman" w:hAnsi="Times New Roman" w:eastAsia="宋体" w:cs="Times New Roman"/>
          <w:b w:val="0"/>
          <w:bCs w:val="0"/>
          <w:i w:val="0"/>
          <w:iCs w:val="0"/>
          <w:caps w:val="0"/>
          <w:color w:val="000000"/>
          <w:spacing w:val="0"/>
          <w:sz w:val="20"/>
          <w:szCs w:val="20"/>
          <w:highlight w:val="none"/>
          <w:u w:val="single"/>
          <w:shd w:val="clear" w:fill="FFFFFF"/>
          <w:lang w:val="en-US" w:eastAsia="zh-CN"/>
        </w:rPr>
      </w:pPr>
      <w:r>
        <w:rPr>
          <w:rFonts w:hint="eastAsia"/>
          <w:b w:val="0"/>
          <w:bCs w:val="0"/>
          <w:color w:val="000000"/>
          <w:sz w:val="20"/>
          <w:szCs w:val="20"/>
          <w:highlight w:val="none"/>
          <w:u w:val="single"/>
          <w:shd w:val="clear" w:fill="FFFFFF"/>
          <w:lang w:val="en-US" w:eastAsia="zh-CN"/>
        </w:rPr>
        <w:t>Coherent UL MIMO</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120" w:afterLines="0" w:line="240" w:lineRule="auto"/>
        <w:ind w:right="210" w:rightChars="100"/>
        <w:jc w:val="both"/>
        <w:textAlignment w:val="auto"/>
        <w:outlineLvl w:val="9"/>
        <w:rPr>
          <w:rFonts w:hint="eastAsia"/>
          <w:b/>
          <w:bCs/>
          <w:i w:val="0"/>
          <w:iCs/>
          <w:sz w:val="20"/>
          <w:szCs w:val="20"/>
          <w:highlight w:val="none"/>
          <w:lang w:val="en-US" w:eastAsia="zh-CN"/>
        </w:rPr>
      </w:pPr>
      <w:r>
        <w:rPr>
          <w:rFonts w:hint="eastAsia"/>
          <w:b/>
          <w:bCs/>
          <w:highlight w:val="none"/>
        </w:rPr>
        <w:t>Observation</w:t>
      </w:r>
      <w:r>
        <w:rPr>
          <w:rFonts w:hint="eastAsia"/>
          <w:b/>
          <w:bCs/>
          <w:highlight w:val="none"/>
          <w:lang w:val="en-US" w:eastAsia="zh-CN"/>
        </w:rPr>
        <w:t xml:space="preserve"> 6</w:t>
      </w:r>
      <w:r>
        <w:rPr>
          <w:rFonts w:hint="eastAsia"/>
          <w:b/>
          <w:bCs/>
          <w:highlight w:val="none"/>
        </w:rPr>
        <w:t>: Besides for increase of #. Tx in a UE, UL coherent transmission and corresponding high-resolution UL codebook become critical for boosting up UL transmission, especially for cell-edge UE (50~100% UPT gain)</w:t>
      </w:r>
      <w:r>
        <w:rPr>
          <w:rFonts w:hint="eastAsia"/>
          <w:b/>
          <w:bCs/>
          <w:highlight w:val="none"/>
          <w:lang w:val="en-US"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val="0"/>
          <w:i w:val="0"/>
          <w:iCs/>
          <w:sz w:val="20"/>
          <w:szCs w:val="20"/>
          <w:highlight w:val="none"/>
          <w:lang w:val="en-US" w:eastAsia="zh-CN"/>
        </w:rPr>
      </w:pPr>
      <w:r>
        <w:rPr>
          <w:rFonts w:hint="eastAsia"/>
          <w:b/>
          <w:bCs w:val="0"/>
          <w:i w:val="0"/>
          <w:iCs/>
          <w:sz w:val="20"/>
          <w:szCs w:val="20"/>
          <w:highlight w:val="none"/>
          <w:lang w:val="en-US" w:eastAsia="zh-CN"/>
        </w:rPr>
        <w:t>Proposal 7: Enable Coherent UL MIMO feature for 6GR.</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b/>
          <w:bCs w:val="0"/>
          <w:i w:val="0"/>
          <w:iCs/>
          <w:sz w:val="20"/>
          <w:szCs w:val="20"/>
          <w:highlight w:val="none"/>
          <w:lang w:val="en-US" w:eastAsia="zh-CN"/>
        </w:rPr>
      </w:pPr>
      <w:r>
        <w:rPr>
          <w:rFonts w:hint="eastAsia"/>
          <w:b/>
          <w:bCs w:val="0"/>
          <w:i w:val="0"/>
          <w:iCs/>
          <w:sz w:val="20"/>
          <w:szCs w:val="20"/>
          <w:highlight w:val="none"/>
          <w:lang w:val="en-US" w:eastAsia="zh-CN"/>
        </w:rPr>
        <w:t>Proposal 8: To meet the relative phase and power requirement for coherent UL MIMO, UL gap for coherence calibration could be further studied in 6GR if necessary.</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eastAsia" w:ascii="Times New Roman" w:hAnsi="Times New Roman" w:eastAsia="宋体" w:cs="Times New Roman"/>
          <w:b w:val="0"/>
          <w:bCs w:val="0"/>
          <w:i w:val="0"/>
          <w:iCs w:val="0"/>
          <w:caps w:val="0"/>
          <w:color w:val="000000"/>
          <w:spacing w:val="0"/>
          <w:sz w:val="20"/>
          <w:szCs w:val="20"/>
          <w:highlight w:val="none"/>
          <w:u w:val="single"/>
          <w:shd w:val="clear" w:fill="FFFFFF"/>
          <w:lang w:val="en-US" w:eastAsia="zh-CN"/>
        </w:rPr>
      </w:pPr>
      <w:r>
        <w:rPr>
          <w:rFonts w:hint="eastAsia" w:cs="Times New Roman"/>
          <w:b w:val="0"/>
          <w:bCs w:val="0"/>
          <w:i w:val="0"/>
          <w:iCs w:val="0"/>
          <w:color w:val="000000"/>
          <w:kern w:val="2"/>
          <w:sz w:val="20"/>
          <w:highlight w:val="none"/>
          <w:u w:val="single"/>
          <w:shd w:val="clear" w:fill="FFFFFF"/>
          <w:lang w:val="en-US" w:eastAsia="zh-CN"/>
        </w:rPr>
        <w:t>UE RF requirements improvement and/or simplification</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Observation 7: RAN1 agreed to take 5G NR CP-OFDM and DFT-s-OFDM as 6GR waveform basis and consider enhancements/modifications on CP-OFDM and DFT-s-OFDM to further reduce the PAPR of the uplink signal, which provides possibility to reduce MPR/A-MPR.</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Observation 8: PA model/calibration point, reference waveform, IQ image and carrier leakage in 5G NR are reused from LTE, which may not be feasible for 6GR.</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Proposal 9: New PA models as well as improved IQ image and carrier leakage requirements should be discussed for 6GR MPR /AMPR evaluation.</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szCs w:val="20"/>
          <w:highlight w:val="none"/>
          <w:lang w:val="en-US" w:eastAsia="zh-CN"/>
        </w:rPr>
        <w:t xml:space="preserve">Proposal 10: To discuss how to redivide the overall RB allocation range for 6GR MPR on the top of the 5G NR MPR RB regions. </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Proposal 11: The evaluation for relaxing Tx EVM should priority high order modulation.</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Proposal 12: Non-linearity issue including PA model, IQ image/carrier leakage, CFR, DPD for UE transmitter side should be investigated for Tx EVM relaxing.</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default"/>
          <w:b/>
          <w:bCs/>
          <w:sz w:val="20"/>
          <w:szCs w:val="20"/>
          <w:highlight w:val="none"/>
          <w:vertAlign w:val="baseline"/>
          <w:lang w:val="en-US" w:eastAsia="zh-CN"/>
        </w:rPr>
      </w:pPr>
      <w:r>
        <w:rPr>
          <w:rFonts w:hint="eastAsia" w:cs="Times New Roman"/>
          <w:b/>
          <w:bCs/>
          <w:kern w:val="0"/>
          <w:sz w:val="20"/>
          <w:highlight w:val="none"/>
          <w:lang w:val="en-US" w:eastAsia="zh-CN"/>
        </w:rPr>
        <w:t xml:space="preserve">Observation 9: </w:t>
      </w:r>
      <w:r>
        <w:rPr>
          <w:b/>
          <w:bCs/>
          <w:sz w:val="20"/>
          <w:szCs w:val="20"/>
          <w:highlight w:val="none"/>
        </w:rPr>
        <w:t>∆T</w:t>
      </w:r>
      <w:r>
        <w:rPr>
          <w:b/>
          <w:bCs/>
          <w:sz w:val="20"/>
          <w:szCs w:val="20"/>
          <w:highlight w:val="none"/>
          <w:vertAlign w:val="subscript"/>
          <w:lang w:eastAsia="zh-CN"/>
        </w:rPr>
        <w:t>RxSRS</w:t>
      </w:r>
      <w:r>
        <w:rPr>
          <w:rFonts w:hint="eastAsia" w:cs="Times New Roman"/>
          <w:b/>
          <w:bCs/>
          <w:kern w:val="0"/>
          <w:sz w:val="20"/>
          <w:highlight w:val="none"/>
          <w:lang w:val="en-US" w:eastAsia="zh-CN"/>
        </w:rPr>
        <w:t xml:space="preserve"> requirement was not verified and the </w:t>
      </w:r>
      <w:r>
        <w:rPr>
          <w:rFonts w:hint="eastAsia"/>
          <w:b/>
          <w:bCs/>
          <w:sz w:val="20"/>
          <w:szCs w:val="20"/>
          <w:highlight w:val="none"/>
          <w:vertAlign w:val="baseline"/>
          <w:lang w:val="en-US" w:eastAsia="zh-CN"/>
        </w:rPr>
        <w:t>SRS insertion loss imbalance was not solved in 5G NR.</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Observation 10: Duty cycle SAR solution was not implemented in 5G NR according to the previous discussion.</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20" w:afterLines="0" w:line="240" w:lineRule="auto"/>
        <w:jc w:val="both"/>
        <w:textAlignment w:val="auto"/>
        <w:rPr>
          <w:rFonts w:hint="eastAsia"/>
          <w:b/>
          <w:bCs/>
          <w:sz w:val="20"/>
          <w:szCs w:val="20"/>
          <w:highlight w:val="none"/>
          <w:vertAlign w:val="baseline"/>
          <w:lang w:val="en-US" w:eastAsia="zh-CN"/>
        </w:rPr>
      </w:pPr>
      <w:r>
        <w:rPr>
          <w:rFonts w:hint="eastAsia"/>
          <w:b/>
          <w:bCs/>
          <w:sz w:val="20"/>
          <w:szCs w:val="20"/>
          <w:highlight w:val="none"/>
          <w:vertAlign w:val="baseline"/>
          <w:lang w:val="en-US" w:eastAsia="zh-CN"/>
        </w:rPr>
        <w:t xml:space="preserve">Proposal 13: To </w:t>
      </w:r>
      <w:r>
        <w:rPr>
          <w:rFonts w:hint="eastAsia" w:cs="Times New Roman"/>
          <w:b/>
          <w:bCs/>
          <w:kern w:val="0"/>
          <w:sz w:val="20"/>
          <w:highlight w:val="none"/>
          <w:lang w:val="en-US" w:eastAsia="zh-CN"/>
        </w:rPr>
        <w:t xml:space="preserve">simplify </w:t>
      </w:r>
      <w:r>
        <w:rPr>
          <w:rFonts w:hint="default" w:cs="Times New Roman"/>
          <w:b/>
          <w:bCs/>
          <w:i w:val="0"/>
          <w:iCs w:val="0"/>
          <w:kern w:val="0"/>
          <w:sz w:val="20"/>
          <w:highlight w:val="none"/>
          <w:lang w:val="en-US" w:eastAsia="zh-CN"/>
        </w:rPr>
        <w:t>the configured tran</w:t>
      </w:r>
      <w:r>
        <w:rPr>
          <w:rFonts w:hint="eastAsia" w:cs="Times New Roman"/>
          <w:b/>
          <w:bCs/>
          <w:i w:val="0"/>
          <w:iCs w:val="0"/>
          <w:kern w:val="0"/>
          <w:sz w:val="20"/>
          <w:highlight w:val="none"/>
          <w:lang w:val="en-US" w:eastAsia="zh-CN"/>
        </w:rPr>
        <w:t>s</w:t>
      </w:r>
      <w:r>
        <w:rPr>
          <w:rFonts w:hint="default" w:cs="Times New Roman"/>
          <w:b/>
          <w:bCs/>
          <w:i w:val="0"/>
          <w:iCs w:val="0"/>
          <w:kern w:val="0"/>
          <w:sz w:val="20"/>
          <w:highlight w:val="none"/>
          <w:lang w:val="en-US" w:eastAsia="zh-CN"/>
        </w:rPr>
        <w:t>mitted power requirement</w:t>
      </w:r>
      <w:r>
        <w:rPr>
          <w:rFonts w:hint="eastAsia" w:cs="Times New Roman"/>
          <w:b/>
          <w:bCs/>
          <w:i w:val="0"/>
          <w:iCs w:val="0"/>
          <w:kern w:val="0"/>
          <w:sz w:val="20"/>
          <w:highlight w:val="none"/>
          <w:lang w:val="en-US" w:eastAsia="zh-CN"/>
        </w:rPr>
        <w:t xml:space="preserve"> if possible, as well as to solve issues of </w:t>
      </w:r>
      <w:r>
        <w:rPr>
          <w:b/>
          <w:bCs/>
          <w:sz w:val="20"/>
          <w:szCs w:val="20"/>
          <w:highlight w:val="none"/>
        </w:rPr>
        <w:t>∆T</w:t>
      </w:r>
      <w:r>
        <w:rPr>
          <w:b/>
          <w:bCs/>
          <w:sz w:val="20"/>
          <w:szCs w:val="20"/>
          <w:highlight w:val="none"/>
          <w:vertAlign w:val="subscript"/>
          <w:lang w:eastAsia="zh-CN"/>
        </w:rPr>
        <w:t>RxSRS</w:t>
      </w:r>
      <w:r>
        <w:rPr>
          <w:rFonts w:hint="eastAsia"/>
          <w:b/>
          <w:bCs/>
          <w:sz w:val="20"/>
          <w:szCs w:val="20"/>
          <w:highlight w:val="none"/>
          <w:vertAlign w:val="subscript"/>
          <w:lang w:val="en-US" w:eastAsia="zh-CN"/>
        </w:rPr>
        <w:t xml:space="preserve"> </w:t>
      </w:r>
      <w:r>
        <w:rPr>
          <w:rFonts w:hint="eastAsia" w:cs="Times New Roman"/>
          <w:b/>
          <w:bCs/>
          <w:i w:val="0"/>
          <w:iCs w:val="0"/>
          <w:kern w:val="0"/>
          <w:sz w:val="20"/>
          <w:highlight w:val="none"/>
          <w:lang w:val="en-US" w:eastAsia="zh-CN"/>
        </w:rPr>
        <w:t xml:space="preserve">and </w:t>
      </w:r>
      <w:r>
        <w:rPr>
          <w:rFonts w:hint="eastAsia"/>
          <w:b/>
          <w:bCs/>
          <w:sz w:val="20"/>
          <w:szCs w:val="20"/>
          <w:highlight w:val="none"/>
          <w:vertAlign w:val="baseline"/>
          <w:lang w:val="en-US" w:eastAsia="zh-CN"/>
        </w:rPr>
        <w:t>duty cycle SAR solution.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eastAsia"/>
          <w:b/>
          <w:bCs/>
          <w:sz w:val="20"/>
          <w:szCs w:val="20"/>
          <w:highlight w:val="none"/>
          <w:lang w:val="en-US" w:eastAsia="zh-CN"/>
        </w:rPr>
      </w:pPr>
      <w:r>
        <w:rPr>
          <w:rFonts w:hint="eastAsia"/>
          <w:b/>
          <w:bCs/>
          <w:sz w:val="20"/>
          <w:szCs w:val="20"/>
          <w:highlight w:val="none"/>
          <w:lang w:val="en-US" w:eastAsia="zh-CN"/>
        </w:rPr>
        <w:t>Observation 11: OOB boundary defined for channel bandwidth more than 5MHz in 3GPP is stricter than 250% of necessary channel bandwidth rule in ITU-R SM.329.</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
          <w:bCs/>
          <w:sz w:val="20"/>
          <w:szCs w:val="20"/>
          <w:highlight w:val="none"/>
          <w:lang w:val="en-US" w:eastAsia="zh-CN"/>
        </w:rPr>
      </w:pPr>
      <w:r>
        <w:rPr>
          <w:rFonts w:hint="eastAsia"/>
          <w:b/>
          <w:bCs/>
          <w:sz w:val="20"/>
          <w:szCs w:val="20"/>
          <w:highlight w:val="none"/>
          <w:lang w:val="en-US" w:eastAsia="zh-CN"/>
        </w:rPr>
        <w:t xml:space="preserve">Proposal 14: It is proposed to discuss the boundary between out-of-band emissions and spurious emissions domain. </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eastAsia"/>
          <w:b/>
          <w:bCs/>
          <w:sz w:val="20"/>
          <w:szCs w:val="20"/>
          <w:highlight w:val="none"/>
          <w:lang w:val="en-US" w:eastAsia="zh-CN"/>
        </w:rPr>
      </w:pPr>
      <w:r>
        <w:rPr>
          <w:rFonts w:hint="eastAsia"/>
          <w:b/>
          <w:bCs/>
          <w:sz w:val="20"/>
          <w:szCs w:val="20"/>
          <w:highlight w:val="none"/>
          <w:lang w:val="en-US" w:eastAsia="zh-CN"/>
        </w:rPr>
        <w:t>Observation 12: OOB boundary is not entirely defined as 250% of necessary bandwidth in SM.329, SM.1539 and SM.1541, and OOB boundary is smaller than 250% of necessary bandwidth for wide band.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15: It is proposed to take SM.1539 and SM.1541 into consideration when discussing OOB boundary in 6GR.</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default"/>
          <w:bCs w:val="0"/>
          <w:kern w:val="0"/>
          <w:sz w:val="20"/>
          <w:szCs w:val="20"/>
          <w:highlight w:val="none"/>
          <w:u w:val="single"/>
          <w:lang w:val="en-US" w:eastAsia="zh-CN"/>
        </w:rPr>
      </w:pPr>
      <w:r>
        <w:rPr>
          <w:rFonts w:hint="eastAsia" w:cs="Times New Roman"/>
          <w:b w:val="0"/>
          <w:bCs w:val="0"/>
          <w:i w:val="0"/>
          <w:iCs w:val="0"/>
          <w:kern w:val="0"/>
          <w:sz w:val="20"/>
          <w:highlight w:val="none"/>
          <w:u w:val="single"/>
          <w:lang w:val="en-US" w:eastAsia="zh-CN"/>
        </w:rPr>
        <w:t>RF requirements for new channel bandwidth:</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0" w:after="120" w:afterLines="0" w:line="240" w:lineRule="auto"/>
        <w:jc w:val="both"/>
        <w:textAlignment w:val="auto"/>
        <w:rPr>
          <w:rFonts w:hint="eastAsia" w:cs="Times New Roman"/>
          <w:b/>
          <w:bCs/>
          <w:i w:val="0"/>
          <w:iCs w:val="0"/>
          <w:kern w:val="0"/>
          <w:sz w:val="20"/>
          <w:highlight w:val="none"/>
          <w:lang w:val="en-US" w:eastAsia="zh-CN"/>
        </w:rPr>
      </w:pPr>
      <w:r>
        <w:rPr>
          <w:rFonts w:hint="eastAsia"/>
          <w:b/>
          <w:bCs/>
          <w:sz w:val="20"/>
          <w:szCs w:val="20"/>
          <w:highlight w:val="none"/>
          <w:vertAlign w:val="baseline"/>
          <w:lang w:val="en-US" w:eastAsia="zh-CN"/>
        </w:rPr>
        <w:t xml:space="preserve">Proposal 16: </w:t>
      </w:r>
      <w:r>
        <w:rPr>
          <w:rFonts w:hint="eastAsia" w:cs="Times New Roman"/>
          <w:b/>
          <w:bCs/>
          <w:i w:val="0"/>
          <w:iCs w:val="0"/>
          <w:kern w:val="0"/>
          <w:sz w:val="20"/>
          <w:highlight w:val="none"/>
          <w:lang w:val="en-US" w:eastAsia="zh-CN"/>
        </w:rPr>
        <w:t>A</w:t>
      </w:r>
      <w:r>
        <w:rPr>
          <w:rFonts w:hint="default" w:cs="Times New Roman"/>
          <w:b/>
          <w:bCs/>
          <w:i w:val="0"/>
          <w:iCs w:val="0"/>
          <w:kern w:val="0"/>
          <w:sz w:val="20"/>
          <w:highlight w:val="none"/>
          <w:lang w:val="en-US" w:eastAsia="zh-CN"/>
        </w:rPr>
        <w:t>ll of the related Tx/Rx requirements</w:t>
      </w:r>
      <w:r>
        <w:rPr>
          <w:rFonts w:hint="eastAsia" w:cs="Times New Roman"/>
          <w:b/>
          <w:bCs/>
          <w:i w:val="0"/>
          <w:iCs w:val="0"/>
          <w:kern w:val="0"/>
          <w:sz w:val="20"/>
          <w:highlight w:val="none"/>
          <w:lang w:val="en-US" w:eastAsia="zh-CN"/>
        </w:rPr>
        <w:t xml:space="preserve"> for the new wider channel bandwidths should be studied based on </w:t>
      </w:r>
      <w:r>
        <w:rPr>
          <w:rFonts w:hint="default" w:cs="Times New Roman"/>
          <w:b/>
          <w:bCs/>
          <w:i w:val="0"/>
          <w:iCs w:val="0"/>
          <w:kern w:val="0"/>
          <w:sz w:val="20"/>
          <w:highlight w:val="none"/>
          <w:lang w:val="en-US" w:eastAsia="zh-CN"/>
        </w:rPr>
        <w:t>practical RF parameters/PA model assumption</w:t>
      </w:r>
      <w:r>
        <w:rPr>
          <w:rFonts w:hint="eastAsia" w:cs="Times New Roman"/>
          <w:b/>
          <w:bCs/>
          <w:i w:val="0"/>
          <w:iCs w:val="0"/>
          <w:kern w:val="0"/>
          <w:sz w:val="20"/>
          <w:highlight w:val="none"/>
          <w:lang w:val="en-US" w:eastAsia="zh-CN"/>
        </w:rPr>
        <w:t>.</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both"/>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eastAsiaTheme="minorEastAsia"/>
          <w:sz w:val="20"/>
          <w:szCs w:val="20"/>
          <w:highlight w:val="none"/>
          <w:lang w:val="en-US" w:eastAsia="zh-CN"/>
        </w:rPr>
      </w:pPr>
      <w:r>
        <w:rPr>
          <w:rFonts w:hint="eastAsia" w:cs="Times New Roman"/>
          <w:b w:val="0"/>
          <w:bCs/>
          <w:sz w:val="20"/>
          <w:szCs w:val="20"/>
          <w:highlight w:val="none"/>
          <w:lang w:val="en-US" w:eastAsia="zh-CN"/>
        </w:rPr>
        <w:t>[1]RP-25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5396"/>
    <w:multiLevelType w:val="multilevel"/>
    <w:tmpl w:val="88135396"/>
    <w:lvl w:ilvl="0" w:tentative="0">
      <w:start w:val="1"/>
      <w:numFmt w:val="decimal"/>
      <w:pStyle w:val="82"/>
      <w:lvlText w:val="Proposal %1:"/>
      <w:lvlJc w:val="left"/>
      <w:pPr>
        <w:ind w:left="993" w:firstLine="0"/>
      </w:pPr>
      <w:rPr>
        <w:rFonts w:hint="default" w:ascii="Times New Roman" w:hAnsi="Times New Roman" w:eastAsia="宋体" w:cs="宋体"/>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D6B6D87D"/>
    <w:multiLevelType w:val="singleLevel"/>
    <w:tmpl w:val="D6B6D87D"/>
    <w:lvl w:ilvl="0" w:tentative="0">
      <w:start w:val="1"/>
      <w:numFmt w:val="bullet"/>
      <w:lvlText w:val="−"/>
      <w:lvlJc w:val="left"/>
      <w:pPr>
        <w:ind w:left="420" w:leftChars="0" w:hanging="420" w:firstLineChars="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D48524A"/>
    <w:multiLevelType w:val="multilevel"/>
    <w:tmpl w:val="2D48524A"/>
    <w:lvl w:ilvl="0" w:tentative="0">
      <w:start w:val="4"/>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3643867"/>
    <w:multiLevelType w:val="singleLevel"/>
    <w:tmpl w:val="33643867"/>
    <w:lvl w:ilvl="0" w:tentative="0">
      <w:start w:val="1"/>
      <w:numFmt w:val="bullet"/>
      <w:lvlText w:val="-"/>
      <w:lvlJc w:val="left"/>
      <w:pPr>
        <w:ind w:left="420" w:leftChars="0" w:hanging="420" w:firstLineChars="0"/>
      </w:pPr>
      <w:rPr>
        <w:rFonts w:hint="default" w:ascii="Arial" w:hAnsi="Arial" w:cs="Arial"/>
      </w:r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6"/>
  </w:num>
  <w:num w:numId="4">
    <w:abstractNumId w:val="8"/>
  </w:num>
  <w:num w:numId="5">
    <w:abstractNumId w:val="2"/>
  </w:num>
  <w:num w:numId="6">
    <w:abstractNumId w:val="1"/>
  </w:num>
  <w:num w:numId="7">
    <w:abstractNumId w:val="0"/>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76137"/>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1FC"/>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2757"/>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864D1"/>
    <w:rsid w:val="007A111A"/>
    <w:rsid w:val="007A6F63"/>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96D6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941B1"/>
    <w:rsid w:val="011A0B49"/>
    <w:rsid w:val="011E09FA"/>
    <w:rsid w:val="011F019D"/>
    <w:rsid w:val="011F7565"/>
    <w:rsid w:val="01216A56"/>
    <w:rsid w:val="0130248E"/>
    <w:rsid w:val="01302F49"/>
    <w:rsid w:val="01370912"/>
    <w:rsid w:val="013E7178"/>
    <w:rsid w:val="01465BE5"/>
    <w:rsid w:val="014A0623"/>
    <w:rsid w:val="01536583"/>
    <w:rsid w:val="01557A3F"/>
    <w:rsid w:val="015F254D"/>
    <w:rsid w:val="015F4209"/>
    <w:rsid w:val="015F4DA5"/>
    <w:rsid w:val="0163078D"/>
    <w:rsid w:val="016F70BE"/>
    <w:rsid w:val="017554EF"/>
    <w:rsid w:val="01764F01"/>
    <w:rsid w:val="018107C9"/>
    <w:rsid w:val="01854FE9"/>
    <w:rsid w:val="0186020E"/>
    <w:rsid w:val="018E207B"/>
    <w:rsid w:val="0190283E"/>
    <w:rsid w:val="019D155B"/>
    <w:rsid w:val="019E58B5"/>
    <w:rsid w:val="01A428BB"/>
    <w:rsid w:val="01AB59F3"/>
    <w:rsid w:val="01AE307F"/>
    <w:rsid w:val="01B315BE"/>
    <w:rsid w:val="01B31FD7"/>
    <w:rsid w:val="01B35169"/>
    <w:rsid w:val="01B91A9C"/>
    <w:rsid w:val="01C00B7B"/>
    <w:rsid w:val="01D46B8D"/>
    <w:rsid w:val="01D866D8"/>
    <w:rsid w:val="01D92520"/>
    <w:rsid w:val="01E150A5"/>
    <w:rsid w:val="01EE2663"/>
    <w:rsid w:val="01F90434"/>
    <w:rsid w:val="01FA0209"/>
    <w:rsid w:val="01FB366B"/>
    <w:rsid w:val="01FD3930"/>
    <w:rsid w:val="020129D0"/>
    <w:rsid w:val="021235C4"/>
    <w:rsid w:val="021B7C87"/>
    <w:rsid w:val="02210DF0"/>
    <w:rsid w:val="02274638"/>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677E5"/>
    <w:rsid w:val="02574CE3"/>
    <w:rsid w:val="02580567"/>
    <w:rsid w:val="02655431"/>
    <w:rsid w:val="02656EE1"/>
    <w:rsid w:val="026E6F9B"/>
    <w:rsid w:val="027275A1"/>
    <w:rsid w:val="027371D9"/>
    <w:rsid w:val="0276366F"/>
    <w:rsid w:val="027C45A5"/>
    <w:rsid w:val="027F646E"/>
    <w:rsid w:val="0281538E"/>
    <w:rsid w:val="02874E7F"/>
    <w:rsid w:val="028A0566"/>
    <w:rsid w:val="028D15B2"/>
    <w:rsid w:val="028F6D4C"/>
    <w:rsid w:val="02933CBB"/>
    <w:rsid w:val="02951DBD"/>
    <w:rsid w:val="029A69A7"/>
    <w:rsid w:val="029B04E7"/>
    <w:rsid w:val="02A0095B"/>
    <w:rsid w:val="02A10998"/>
    <w:rsid w:val="02A82715"/>
    <w:rsid w:val="02A931C0"/>
    <w:rsid w:val="02AA49F2"/>
    <w:rsid w:val="02AB0FBC"/>
    <w:rsid w:val="02AB3D35"/>
    <w:rsid w:val="02AE6812"/>
    <w:rsid w:val="02B34B20"/>
    <w:rsid w:val="02B72F21"/>
    <w:rsid w:val="02C51147"/>
    <w:rsid w:val="02D16C80"/>
    <w:rsid w:val="02D2372A"/>
    <w:rsid w:val="02D863B5"/>
    <w:rsid w:val="02DC3F9C"/>
    <w:rsid w:val="02E226C9"/>
    <w:rsid w:val="02EF1E8A"/>
    <w:rsid w:val="02F3714B"/>
    <w:rsid w:val="02F43C4D"/>
    <w:rsid w:val="03047DDD"/>
    <w:rsid w:val="03056308"/>
    <w:rsid w:val="03071313"/>
    <w:rsid w:val="03073BDC"/>
    <w:rsid w:val="030B0647"/>
    <w:rsid w:val="030B2860"/>
    <w:rsid w:val="030C40C1"/>
    <w:rsid w:val="030C74D4"/>
    <w:rsid w:val="030D2F0B"/>
    <w:rsid w:val="030F3B4D"/>
    <w:rsid w:val="03147978"/>
    <w:rsid w:val="031B083A"/>
    <w:rsid w:val="031C45BA"/>
    <w:rsid w:val="031C48B2"/>
    <w:rsid w:val="031D42A1"/>
    <w:rsid w:val="032276E4"/>
    <w:rsid w:val="0325500B"/>
    <w:rsid w:val="032B6E37"/>
    <w:rsid w:val="03322851"/>
    <w:rsid w:val="033C68CE"/>
    <w:rsid w:val="03445E8F"/>
    <w:rsid w:val="03477E6F"/>
    <w:rsid w:val="03496C64"/>
    <w:rsid w:val="034D468D"/>
    <w:rsid w:val="035154D3"/>
    <w:rsid w:val="03527C38"/>
    <w:rsid w:val="035635C5"/>
    <w:rsid w:val="0356746F"/>
    <w:rsid w:val="03645466"/>
    <w:rsid w:val="036E37C2"/>
    <w:rsid w:val="03701F2B"/>
    <w:rsid w:val="03746F87"/>
    <w:rsid w:val="03780D14"/>
    <w:rsid w:val="037828CA"/>
    <w:rsid w:val="03814F5B"/>
    <w:rsid w:val="038158C1"/>
    <w:rsid w:val="038A6EA9"/>
    <w:rsid w:val="038B3141"/>
    <w:rsid w:val="03995E1C"/>
    <w:rsid w:val="03A6622D"/>
    <w:rsid w:val="03A77DFA"/>
    <w:rsid w:val="03AA5C06"/>
    <w:rsid w:val="03B339B1"/>
    <w:rsid w:val="03B9272D"/>
    <w:rsid w:val="03B93D2B"/>
    <w:rsid w:val="03C05350"/>
    <w:rsid w:val="03C1287B"/>
    <w:rsid w:val="03C14CED"/>
    <w:rsid w:val="03C16C60"/>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3E4A92"/>
    <w:rsid w:val="0442138C"/>
    <w:rsid w:val="044A0B45"/>
    <w:rsid w:val="044C2C60"/>
    <w:rsid w:val="044C78D8"/>
    <w:rsid w:val="04537B11"/>
    <w:rsid w:val="04582ABC"/>
    <w:rsid w:val="045A31AF"/>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9670E"/>
    <w:rsid w:val="04DA1A87"/>
    <w:rsid w:val="04DE2DA3"/>
    <w:rsid w:val="04E50877"/>
    <w:rsid w:val="04EB6DF8"/>
    <w:rsid w:val="04EF2139"/>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76A22"/>
    <w:rsid w:val="05497A54"/>
    <w:rsid w:val="054E2A6F"/>
    <w:rsid w:val="054E79B3"/>
    <w:rsid w:val="0555228E"/>
    <w:rsid w:val="055E60D6"/>
    <w:rsid w:val="05631A11"/>
    <w:rsid w:val="056E5F14"/>
    <w:rsid w:val="05741F0E"/>
    <w:rsid w:val="057B274C"/>
    <w:rsid w:val="057D1D66"/>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95474"/>
    <w:rsid w:val="060C5AED"/>
    <w:rsid w:val="06103146"/>
    <w:rsid w:val="0610365A"/>
    <w:rsid w:val="061153CA"/>
    <w:rsid w:val="06172561"/>
    <w:rsid w:val="061E2360"/>
    <w:rsid w:val="061E54DA"/>
    <w:rsid w:val="061E5E22"/>
    <w:rsid w:val="062B440F"/>
    <w:rsid w:val="062C26E7"/>
    <w:rsid w:val="06322D83"/>
    <w:rsid w:val="06384E69"/>
    <w:rsid w:val="06460B91"/>
    <w:rsid w:val="064707DC"/>
    <w:rsid w:val="064A5D21"/>
    <w:rsid w:val="0654187C"/>
    <w:rsid w:val="065475DE"/>
    <w:rsid w:val="06556C03"/>
    <w:rsid w:val="06591635"/>
    <w:rsid w:val="06611EAF"/>
    <w:rsid w:val="06637BD9"/>
    <w:rsid w:val="066974D8"/>
    <w:rsid w:val="06782F84"/>
    <w:rsid w:val="067C28D6"/>
    <w:rsid w:val="06896C4B"/>
    <w:rsid w:val="068E06BC"/>
    <w:rsid w:val="069201CB"/>
    <w:rsid w:val="06956E2E"/>
    <w:rsid w:val="06AF4694"/>
    <w:rsid w:val="06B2457F"/>
    <w:rsid w:val="06B741D9"/>
    <w:rsid w:val="06BF45D2"/>
    <w:rsid w:val="06C457B6"/>
    <w:rsid w:val="06C632A9"/>
    <w:rsid w:val="06C827BC"/>
    <w:rsid w:val="06CD4A70"/>
    <w:rsid w:val="06D21925"/>
    <w:rsid w:val="06DA4639"/>
    <w:rsid w:val="06DF4C13"/>
    <w:rsid w:val="06E45F15"/>
    <w:rsid w:val="06E7678C"/>
    <w:rsid w:val="06F14C51"/>
    <w:rsid w:val="06F42A88"/>
    <w:rsid w:val="06F801C0"/>
    <w:rsid w:val="07105178"/>
    <w:rsid w:val="0712124C"/>
    <w:rsid w:val="071426A5"/>
    <w:rsid w:val="071614A3"/>
    <w:rsid w:val="071C13A8"/>
    <w:rsid w:val="071E2EF6"/>
    <w:rsid w:val="072C236B"/>
    <w:rsid w:val="072C2C42"/>
    <w:rsid w:val="072D095B"/>
    <w:rsid w:val="07315D27"/>
    <w:rsid w:val="07324CB2"/>
    <w:rsid w:val="07330445"/>
    <w:rsid w:val="073D143C"/>
    <w:rsid w:val="073E76B1"/>
    <w:rsid w:val="0747308D"/>
    <w:rsid w:val="074855FD"/>
    <w:rsid w:val="074C2C73"/>
    <w:rsid w:val="07554285"/>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32D34"/>
    <w:rsid w:val="08787FF0"/>
    <w:rsid w:val="087E09A4"/>
    <w:rsid w:val="08824DF0"/>
    <w:rsid w:val="0889002B"/>
    <w:rsid w:val="089303A1"/>
    <w:rsid w:val="089568D2"/>
    <w:rsid w:val="089A4392"/>
    <w:rsid w:val="089B79D9"/>
    <w:rsid w:val="08A44DA6"/>
    <w:rsid w:val="08AA245A"/>
    <w:rsid w:val="08BA6E24"/>
    <w:rsid w:val="08C024D5"/>
    <w:rsid w:val="08C562FD"/>
    <w:rsid w:val="08CA27B1"/>
    <w:rsid w:val="08CF3AF7"/>
    <w:rsid w:val="08D447CB"/>
    <w:rsid w:val="08E916DF"/>
    <w:rsid w:val="08EA0DE4"/>
    <w:rsid w:val="08EC4A89"/>
    <w:rsid w:val="08EF336C"/>
    <w:rsid w:val="08F473EA"/>
    <w:rsid w:val="08F73E85"/>
    <w:rsid w:val="08FA104A"/>
    <w:rsid w:val="08FC0AA5"/>
    <w:rsid w:val="08FD79E7"/>
    <w:rsid w:val="090868CF"/>
    <w:rsid w:val="09136472"/>
    <w:rsid w:val="0918179D"/>
    <w:rsid w:val="09217201"/>
    <w:rsid w:val="09272BDF"/>
    <w:rsid w:val="09294EE0"/>
    <w:rsid w:val="092A7C35"/>
    <w:rsid w:val="092D3C16"/>
    <w:rsid w:val="09306537"/>
    <w:rsid w:val="09355076"/>
    <w:rsid w:val="09392119"/>
    <w:rsid w:val="093E68E8"/>
    <w:rsid w:val="09424427"/>
    <w:rsid w:val="09445E95"/>
    <w:rsid w:val="09543B3B"/>
    <w:rsid w:val="09600FBD"/>
    <w:rsid w:val="0972595C"/>
    <w:rsid w:val="097F55EA"/>
    <w:rsid w:val="098143BC"/>
    <w:rsid w:val="098500F1"/>
    <w:rsid w:val="0986486F"/>
    <w:rsid w:val="09915CD5"/>
    <w:rsid w:val="099D1BDA"/>
    <w:rsid w:val="099D3F60"/>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0B66A5"/>
    <w:rsid w:val="0A145721"/>
    <w:rsid w:val="0A163BB0"/>
    <w:rsid w:val="0A1F1E8B"/>
    <w:rsid w:val="0A24407D"/>
    <w:rsid w:val="0A2C67C0"/>
    <w:rsid w:val="0A312F75"/>
    <w:rsid w:val="0A355EAA"/>
    <w:rsid w:val="0A3708FF"/>
    <w:rsid w:val="0A396777"/>
    <w:rsid w:val="0A3B01F9"/>
    <w:rsid w:val="0A3E7253"/>
    <w:rsid w:val="0A3F0488"/>
    <w:rsid w:val="0A402A36"/>
    <w:rsid w:val="0A4236A3"/>
    <w:rsid w:val="0A4E7EF5"/>
    <w:rsid w:val="0A554B97"/>
    <w:rsid w:val="0A5A5E17"/>
    <w:rsid w:val="0A5D34DA"/>
    <w:rsid w:val="0A64281B"/>
    <w:rsid w:val="0A646846"/>
    <w:rsid w:val="0A81307E"/>
    <w:rsid w:val="0A8251CA"/>
    <w:rsid w:val="0A8635F3"/>
    <w:rsid w:val="0A8828AB"/>
    <w:rsid w:val="0A927DC1"/>
    <w:rsid w:val="0A940DEC"/>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EB243C"/>
    <w:rsid w:val="0AEE08A2"/>
    <w:rsid w:val="0AF13898"/>
    <w:rsid w:val="0AF71915"/>
    <w:rsid w:val="0AFA0790"/>
    <w:rsid w:val="0AFA6399"/>
    <w:rsid w:val="0AFB3228"/>
    <w:rsid w:val="0AFC6C07"/>
    <w:rsid w:val="0B0250FD"/>
    <w:rsid w:val="0B0A43E5"/>
    <w:rsid w:val="0B0D0E27"/>
    <w:rsid w:val="0B0F025C"/>
    <w:rsid w:val="0B157FDF"/>
    <w:rsid w:val="0B18726F"/>
    <w:rsid w:val="0B1A6333"/>
    <w:rsid w:val="0B2713F4"/>
    <w:rsid w:val="0B2D4BBD"/>
    <w:rsid w:val="0B3672FB"/>
    <w:rsid w:val="0B3972D1"/>
    <w:rsid w:val="0B3B0A0A"/>
    <w:rsid w:val="0B3D4D64"/>
    <w:rsid w:val="0B3D701F"/>
    <w:rsid w:val="0B3E7DD7"/>
    <w:rsid w:val="0B481192"/>
    <w:rsid w:val="0B494066"/>
    <w:rsid w:val="0B4A69B6"/>
    <w:rsid w:val="0B561995"/>
    <w:rsid w:val="0B5C2C2A"/>
    <w:rsid w:val="0B665E0A"/>
    <w:rsid w:val="0B6E3515"/>
    <w:rsid w:val="0B847B39"/>
    <w:rsid w:val="0B902D5E"/>
    <w:rsid w:val="0B93047C"/>
    <w:rsid w:val="0B943CD2"/>
    <w:rsid w:val="0B9708D9"/>
    <w:rsid w:val="0B987E20"/>
    <w:rsid w:val="0B994CEA"/>
    <w:rsid w:val="0B9E71DF"/>
    <w:rsid w:val="0BA0779A"/>
    <w:rsid w:val="0BA50C29"/>
    <w:rsid w:val="0BAC6FB9"/>
    <w:rsid w:val="0BAD1A2F"/>
    <w:rsid w:val="0BAD5CC5"/>
    <w:rsid w:val="0BAD5EDC"/>
    <w:rsid w:val="0BAF59B9"/>
    <w:rsid w:val="0BB524B8"/>
    <w:rsid w:val="0BB756DF"/>
    <w:rsid w:val="0BBB5434"/>
    <w:rsid w:val="0BBC7261"/>
    <w:rsid w:val="0BBF2B57"/>
    <w:rsid w:val="0BC35089"/>
    <w:rsid w:val="0BC63DB2"/>
    <w:rsid w:val="0BC725F0"/>
    <w:rsid w:val="0BCB1EC4"/>
    <w:rsid w:val="0BCC3588"/>
    <w:rsid w:val="0BCC4043"/>
    <w:rsid w:val="0BCC4B6A"/>
    <w:rsid w:val="0BCF31D0"/>
    <w:rsid w:val="0BD643B3"/>
    <w:rsid w:val="0BEA30CC"/>
    <w:rsid w:val="0BED4D68"/>
    <w:rsid w:val="0C015DF2"/>
    <w:rsid w:val="0C064507"/>
    <w:rsid w:val="0C0F6F1E"/>
    <w:rsid w:val="0C1B1C2C"/>
    <w:rsid w:val="0C1E494F"/>
    <w:rsid w:val="0C302042"/>
    <w:rsid w:val="0C3427D0"/>
    <w:rsid w:val="0C3A59DC"/>
    <w:rsid w:val="0C3A709A"/>
    <w:rsid w:val="0C3A7D1A"/>
    <w:rsid w:val="0C3E69D8"/>
    <w:rsid w:val="0C3F3FB2"/>
    <w:rsid w:val="0C423B22"/>
    <w:rsid w:val="0C43327D"/>
    <w:rsid w:val="0C4426AF"/>
    <w:rsid w:val="0C4577EC"/>
    <w:rsid w:val="0C4F080D"/>
    <w:rsid w:val="0C4F7881"/>
    <w:rsid w:val="0C5963A4"/>
    <w:rsid w:val="0C5C6396"/>
    <w:rsid w:val="0C63431B"/>
    <w:rsid w:val="0C650A20"/>
    <w:rsid w:val="0C690EFA"/>
    <w:rsid w:val="0C6D5648"/>
    <w:rsid w:val="0C6E11B8"/>
    <w:rsid w:val="0C7037B7"/>
    <w:rsid w:val="0C723CD1"/>
    <w:rsid w:val="0C7F409D"/>
    <w:rsid w:val="0C814739"/>
    <w:rsid w:val="0C85186D"/>
    <w:rsid w:val="0C8B63A3"/>
    <w:rsid w:val="0C8F6628"/>
    <w:rsid w:val="0C99689D"/>
    <w:rsid w:val="0C9E6BD0"/>
    <w:rsid w:val="0CA23635"/>
    <w:rsid w:val="0CA23A52"/>
    <w:rsid w:val="0CB94808"/>
    <w:rsid w:val="0CBB289F"/>
    <w:rsid w:val="0CBC261F"/>
    <w:rsid w:val="0CBD3B7B"/>
    <w:rsid w:val="0CC11AEF"/>
    <w:rsid w:val="0CC37BC2"/>
    <w:rsid w:val="0CCD5D1D"/>
    <w:rsid w:val="0CD23DC3"/>
    <w:rsid w:val="0CD87ABE"/>
    <w:rsid w:val="0CDC55DE"/>
    <w:rsid w:val="0CE26C42"/>
    <w:rsid w:val="0CE632FF"/>
    <w:rsid w:val="0CE76B48"/>
    <w:rsid w:val="0CEB5DBE"/>
    <w:rsid w:val="0CFB523A"/>
    <w:rsid w:val="0D030A2D"/>
    <w:rsid w:val="0D1179FA"/>
    <w:rsid w:val="0D1B1E9C"/>
    <w:rsid w:val="0D213998"/>
    <w:rsid w:val="0D2248D5"/>
    <w:rsid w:val="0D274C65"/>
    <w:rsid w:val="0D425E00"/>
    <w:rsid w:val="0D4B44A1"/>
    <w:rsid w:val="0D4B5610"/>
    <w:rsid w:val="0D4E130F"/>
    <w:rsid w:val="0D645430"/>
    <w:rsid w:val="0D6468BA"/>
    <w:rsid w:val="0D6811B4"/>
    <w:rsid w:val="0D6E2620"/>
    <w:rsid w:val="0D704E21"/>
    <w:rsid w:val="0D7F48FE"/>
    <w:rsid w:val="0D883C88"/>
    <w:rsid w:val="0D8D3CD4"/>
    <w:rsid w:val="0D92714F"/>
    <w:rsid w:val="0D9354A5"/>
    <w:rsid w:val="0D936E72"/>
    <w:rsid w:val="0D966BF7"/>
    <w:rsid w:val="0D9C6D45"/>
    <w:rsid w:val="0DA73266"/>
    <w:rsid w:val="0DAA3F6B"/>
    <w:rsid w:val="0DBE5BB8"/>
    <w:rsid w:val="0DC6512B"/>
    <w:rsid w:val="0DC86E56"/>
    <w:rsid w:val="0DCC3AE8"/>
    <w:rsid w:val="0DD028B8"/>
    <w:rsid w:val="0DD1522E"/>
    <w:rsid w:val="0DD86F14"/>
    <w:rsid w:val="0DD87842"/>
    <w:rsid w:val="0DF202E1"/>
    <w:rsid w:val="0DF4168C"/>
    <w:rsid w:val="0DF53CE3"/>
    <w:rsid w:val="0DF728AB"/>
    <w:rsid w:val="0DF84FCE"/>
    <w:rsid w:val="0E090E56"/>
    <w:rsid w:val="0E0961C5"/>
    <w:rsid w:val="0E0D2A37"/>
    <w:rsid w:val="0E147898"/>
    <w:rsid w:val="0E165AAA"/>
    <w:rsid w:val="0E175976"/>
    <w:rsid w:val="0E2F216B"/>
    <w:rsid w:val="0E32381C"/>
    <w:rsid w:val="0E3352C6"/>
    <w:rsid w:val="0E38593A"/>
    <w:rsid w:val="0E3A5EE2"/>
    <w:rsid w:val="0E3D225A"/>
    <w:rsid w:val="0E402EF7"/>
    <w:rsid w:val="0E516288"/>
    <w:rsid w:val="0E542F3B"/>
    <w:rsid w:val="0E5D26D7"/>
    <w:rsid w:val="0E6271DF"/>
    <w:rsid w:val="0E6A25F9"/>
    <w:rsid w:val="0E7071B5"/>
    <w:rsid w:val="0E743098"/>
    <w:rsid w:val="0E747934"/>
    <w:rsid w:val="0E802CDC"/>
    <w:rsid w:val="0E81568A"/>
    <w:rsid w:val="0E854478"/>
    <w:rsid w:val="0E942250"/>
    <w:rsid w:val="0E944B45"/>
    <w:rsid w:val="0E963344"/>
    <w:rsid w:val="0E9E6E00"/>
    <w:rsid w:val="0EA37816"/>
    <w:rsid w:val="0EA40C1C"/>
    <w:rsid w:val="0EAC5212"/>
    <w:rsid w:val="0EAE78D6"/>
    <w:rsid w:val="0EB72E4B"/>
    <w:rsid w:val="0EBB6C97"/>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3F5F11"/>
    <w:rsid w:val="0F41022A"/>
    <w:rsid w:val="0F44420A"/>
    <w:rsid w:val="0F56743B"/>
    <w:rsid w:val="0F60682C"/>
    <w:rsid w:val="0F641EE3"/>
    <w:rsid w:val="0F67374C"/>
    <w:rsid w:val="0F6763D9"/>
    <w:rsid w:val="0F6A1E8D"/>
    <w:rsid w:val="0F6C2441"/>
    <w:rsid w:val="0F715B2B"/>
    <w:rsid w:val="0F717CC0"/>
    <w:rsid w:val="0F764270"/>
    <w:rsid w:val="0F7F273F"/>
    <w:rsid w:val="0F8418ED"/>
    <w:rsid w:val="0F87107F"/>
    <w:rsid w:val="0F957B47"/>
    <w:rsid w:val="0F98796C"/>
    <w:rsid w:val="0F9F6FA4"/>
    <w:rsid w:val="0FA65D5C"/>
    <w:rsid w:val="0FAD33DA"/>
    <w:rsid w:val="0FAF64CE"/>
    <w:rsid w:val="0FB34BC2"/>
    <w:rsid w:val="0FBE2A42"/>
    <w:rsid w:val="0FC17CCE"/>
    <w:rsid w:val="0FC34D43"/>
    <w:rsid w:val="0FC424B9"/>
    <w:rsid w:val="0FCE03F5"/>
    <w:rsid w:val="0FD652FD"/>
    <w:rsid w:val="0FD70565"/>
    <w:rsid w:val="0FE02217"/>
    <w:rsid w:val="0FE6778E"/>
    <w:rsid w:val="0FEA050A"/>
    <w:rsid w:val="0FEC680C"/>
    <w:rsid w:val="0FF83B33"/>
    <w:rsid w:val="0FFE1D2B"/>
    <w:rsid w:val="10007AD6"/>
    <w:rsid w:val="100371D1"/>
    <w:rsid w:val="1019173F"/>
    <w:rsid w:val="101B1E8A"/>
    <w:rsid w:val="101C4A03"/>
    <w:rsid w:val="101D0C86"/>
    <w:rsid w:val="1021217D"/>
    <w:rsid w:val="1026580E"/>
    <w:rsid w:val="10325332"/>
    <w:rsid w:val="10367A6E"/>
    <w:rsid w:val="104A023B"/>
    <w:rsid w:val="10500CD1"/>
    <w:rsid w:val="10505F3B"/>
    <w:rsid w:val="10512311"/>
    <w:rsid w:val="105421D6"/>
    <w:rsid w:val="105D08E7"/>
    <w:rsid w:val="10630732"/>
    <w:rsid w:val="1068540E"/>
    <w:rsid w:val="106B1AEE"/>
    <w:rsid w:val="106D2686"/>
    <w:rsid w:val="107C3E2C"/>
    <w:rsid w:val="107D41AE"/>
    <w:rsid w:val="10887960"/>
    <w:rsid w:val="108C2479"/>
    <w:rsid w:val="108E10B6"/>
    <w:rsid w:val="10944AE4"/>
    <w:rsid w:val="109855D8"/>
    <w:rsid w:val="109C74DE"/>
    <w:rsid w:val="10A471C9"/>
    <w:rsid w:val="10B70B71"/>
    <w:rsid w:val="10BB5146"/>
    <w:rsid w:val="10C715C5"/>
    <w:rsid w:val="10D335EF"/>
    <w:rsid w:val="10D66E32"/>
    <w:rsid w:val="10E117E4"/>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67595"/>
    <w:rsid w:val="114C5FF1"/>
    <w:rsid w:val="114D36FC"/>
    <w:rsid w:val="116B1117"/>
    <w:rsid w:val="116F1EB0"/>
    <w:rsid w:val="11704C48"/>
    <w:rsid w:val="117B1D6A"/>
    <w:rsid w:val="117C2D9D"/>
    <w:rsid w:val="117D6CED"/>
    <w:rsid w:val="117F159E"/>
    <w:rsid w:val="11821DC9"/>
    <w:rsid w:val="1186164E"/>
    <w:rsid w:val="11864D93"/>
    <w:rsid w:val="118C4157"/>
    <w:rsid w:val="11921373"/>
    <w:rsid w:val="119250FE"/>
    <w:rsid w:val="11993AC8"/>
    <w:rsid w:val="119D7849"/>
    <w:rsid w:val="11A572A3"/>
    <w:rsid w:val="11A615EE"/>
    <w:rsid w:val="11A658F4"/>
    <w:rsid w:val="11AD6540"/>
    <w:rsid w:val="11B864B1"/>
    <w:rsid w:val="11B91A57"/>
    <w:rsid w:val="11C06215"/>
    <w:rsid w:val="11C427F5"/>
    <w:rsid w:val="11C67B8F"/>
    <w:rsid w:val="11C86BE2"/>
    <w:rsid w:val="11CA11D0"/>
    <w:rsid w:val="11CD3DE5"/>
    <w:rsid w:val="11CE730E"/>
    <w:rsid w:val="11D52738"/>
    <w:rsid w:val="11D74C5F"/>
    <w:rsid w:val="11D815C4"/>
    <w:rsid w:val="11D91219"/>
    <w:rsid w:val="11DF169F"/>
    <w:rsid w:val="11E177B0"/>
    <w:rsid w:val="11E57D4F"/>
    <w:rsid w:val="11F92DAB"/>
    <w:rsid w:val="11FC38D5"/>
    <w:rsid w:val="11FC7929"/>
    <w:rsid w:val="1210682D"/>
    <w:rsid w:val="1224619F"/>
    <w:rsid w:val="122C1685"/>
    <w:rsid w:val="122D46FC"/>
    <w:rsid w:val="123A05DB"/>
    <w:rsid w:val="124240B9"/>
    <w:rsid w:val="124D0988"/>
    <w:rsid w:val="12536715"/>
    <w:rsid w:val="12583BA5"/>
    <w:rsid w:val="126173CF"/>
    <w:rsid w:val="126607A1"/>
    <w:rsid w:val="1267035D"/>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85654"/>
    <w:rsid w:val="12DB0FE2"/>
    <w:rsid w:val="12DC4BB1"/>
    <w:rsid w:val="12DD58C5"/>
    <w:rsid w:val="12DF0986"/>
    <w:rsid w:val="12DF4A87"/>
    <w:rsid w:val="12EE5106"/>
    <w:rsid w:val="12F169A0"/>
    <w:rsid w:val="1307341C"/>
    <w:rsid w:val="13090AF6"/>
    <w:rsid w:val="130C40FE"/>
    <w:rsid w:val="130C4112"/>
    <w:rsid w:val="130E3629"/>
    <w:rsid w:val="131B39DD"/>
    <w:rsid w:val="131E3101"/>
    <w:rsid w:val="131F76F1"/>
    <w:rsid w:val="13283BA4"/>
    <w:rsid w:val="132A55AF"/>
    <w:rsid w:val="13332F77"/>
    <w:rsid w:val="13334E1C"/>
    <w:rsid w:val="13346EE4"/>
    <w:rsid w:val="13384952"/>
    <w:rsid w:val="134F31A5"/>
    <w:rsid w:val="1355107F"/>
    <w:rsid w:val="135D4D2E"/>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CE280D"/>
    <w:rsid w:val="13D024B3"/>
    <w:rsid w:val="13D115EF"/>
    <w:rsid w:val="13D86163"/>
    <w:rsid w:val="13D86A45"/>
    <w:rsid w:val="13DD445E"/>
    <w:rsid w:val="13DE7C83"/>
    <w:rsid w:val="13EC3FBB"/>
    <w:rsid w:val="13F0242F"/>
    <w:rsid w:val="13F241E5"/>
    <w:rsid w:val="13FD073F"/>
    <w:rsid w:val="14015222"/>
    <w:rsid w:val="140171D9"/>
    <w:rsid w:val="14025FD5"/>
    <w:rsid w:val="1405674E"/>
    <w:rsid w:val="140815BB"/>
    <w:rsid w:val="14087FC1"/>
    <w:rsid w:val="14095006"/>
    <w:rsid w:val="14113513"/>
    <w:rsid w:val="1414796B"/>
    <w:rsid w:val="14197409"/>
    <w:rsid w:val="141C71BE"/>
    <w:rsid w:val="141E583B"/>
    <w:rsid w:val="1424615D"/>
    <w:rsid w:val="142C143A"/>
    <w:rsid w:val="142E02A8"/>
    <w:rsid w:val="142E1345"/>
    <w:rsid w:val="14367BDC"/>
    <w:rsid w:val="1439497C"/>
    <w:rsid w:val="143B523A"/>
    <w:rsid w:val="143F6B4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E35F6"/>
    <w:rsid w:val="14CF11D0"/>
    <w:rsid w:val="14DA3DA1"/>
    <w:rsid w:val="14DC6C19"/>
    <w:rsid w:val="14DF5677"/>
    <w:rsid w:val="14DF5EDA"/>
    <w:rsid w:val="14E60B42"/>
    <w:rsid w:val="14EA1C4D"/>
    <w:rsid w:val="14F56E01"/>
    <w:rsid w:val="14F70C1F"/>
    <w:rsid w:val="14FB79FC"/>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E7C7C"/>
    <w:rsid w:val="1570367F"/>
    <w:rsid w:val="15741298"/>
    <w:rsid w:val="1574662E"/>
    <w:rsid w:val="15751882"/>
    <w:rsid w:val="1575191B"/>
    <w:rsid w:val="157818C6"/>
    <w:rsid w:val="157E710D"/>
    <w:rsid w:val="1586686A"/>
    <w:rsid w:val="158B57F9"/>
    <w:rsid w:val="158B7545"/>
    <w:rsid w:val="15930E74"/>
    <w:rsid w:val="1597601E"/>
    <w:rsid w:val="159F73BB"/>
    <w:rsid w:val="15B03F28"/>
    <w:rsid w:val="15B04FB2"/>
    <w:rsid w:val="15BA32B2"/>
    <w:rsid w:val="15BD66BF"/>
    <w:rsid w:val="15CF4DD4"/>
    <w:rsid w:val="15DC75CF"/>
    <w:rsid w:val="15E274AD"/>
    <w:rsid w:val="15E30A80"/>
    <w:rsid w:val="15E310C1"/>
    <w:rsid w:val="15EC7B27"/>
    <w:rsid w:val="15ED264D"/>
    <w:rsid w:val="15FB16C4"/>
    <w:rsid w:val="160214C9"/>
    <w:rsid w:val="1608480E"/>
    <w:rsid w:val="160D0DA7"/>
    <w:rsid w:val="161C1C58"/>
    <w:rsid w:val="161D0664"/>
    <w:rsid w:val="1626155A"/>
    <w:rsid w:val="16282C4E"/>
    <w:rsid w:val="162A518A"/>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AE5E88"/>
    <w:rsid w:val="16B23908"/>
    <w:rsid w:val="16B4400E"/>
    <w:rsid w:val="16B540F1"/>
    <w:rsid w:val="16BB29A6"/>
    <w:rsid w:val="16BD765C"/>
    <w:rsid w:val="16C168ED"/>
    <w:rsid w:val="16C321B4"/>
    <w:rsid w:val="16C40043"/>
    <w:rsid w:val="16C71372"/>
    <w:rsid w:val="16C739DF"/>
    <w:rsid w:val="16C86CDB"/>
    <w:rsid w:val="16CC5760"/>
    <w:rsid w:val="16CF24E5"/>
    <w:rsid w:val="16D81CE9"/>
    <w:rsid w:val="16D93692"/>
    <w:rsid w:val="16DD3B26"/>
    <w:rsid w:val="16EB6E00"/>
    <w:rsid w:val="16ED6B82"/>
    <w:rsid w:val="16EE7649"/>
    <w:rsid w:val="16EE7E2B"/>
    <w:rsid w:val="16F04615"/>
    <w:rsid w:val="16FD2447"/>
    <w:rsid w:val="1700465E"/>
    <w:rsid w:val="17073B16"/>
    <w:rsid w:val="170B631B"/>
    <w:rsid w:val="170F7C75"/>
    <w:rsid w:val="1712339A"/>
    <w:rsid w:val="1715503C"/>
    <w:rsid w:val="171B1C8E"/>
    <w:rsid w:val="171E63FC"/>
    <w:rsid w:val="17217CD3"/>
    <w:rsid w:val="1722504D"/>
    <w:rsid w:val="172E0463"/>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BB08ED"/>
    <w:rsid w:val="17C5392D"/>
    <w:rsid w:val="17CD2623"/>
    <w:rsid w:val="17CD4707"/>
    <w:rsid w:val="17CE12B8"/>
    <w:rsid w:val="17CF0F3F"/>
    <w:rsid w:val="17CF496D"/>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86207"/>
    <w:rsid w:val="184D0787"/>
    <w:rsid w:val="184E41AF"/>
    <w:rsid w:val="184F0852"/>
    <w:rsid w:val="184F7BF1"/>
    <w:rsid w:val="185202D8"/>
    <w:rsid w:val="185434CB"/>
    <w:rsid w:val="185D1883"/>
    <w:rsid w:val="185E3AA1"/>
    <w:rsid w:val="186E00AB"/>
    <w:rsid w:val="18701A5C"/>
    <w:rsid w:val="1872700B"/>
    <w:rsid w:val="187630AD"/>
    <w:rsid w:val="18793AC0"/>
    <w:rsid w:val="187948CA"/>
    <w:rsid w:val="187C5800"/>
    <w:rsid w:val="18812331"/>
    <w:rsid w:val="18816F1C"/>
    <w:rsid w:val="18853F3E"/>
    <w:rsid w:val="18875C23"/>
    <w:rsid w:val="188C3704"/>
    <w:rsid w:val="18956393"/>
    <w:rsid w:val="18A8582C"/>
    <w:rsid w:val="18AC0908"/>
    <w:rsid w:val="18B0764D"/>
    <w:rsid w:val="18B50543"/>
    <w:rsid w:val="18BA0ED5"/>
    <w:rsid w:val="18BB61C3"/>
    <w:rsid w:val="18BF0E35"/>
    <w:rsid w:val="18CA40C3"/>
    <w:rsid w:val="18CC0D98"/>
    <w:rsid w:val="18CD7A02"/>
    <w:rsid w:val="18D86A52"/>
    <w:rsid w:val="18E053D3"/>
    <w:rsid w:val="18F05DFA"/>
    <w:rsid w:val="18F812CD"/>
    <w:rsid w:val="18F83209"/>
    <w:rsid w:val="18FA6A68"/>
    <w:rsid w:val="19001FFC"/>
    <w:rsid w:val="190E2B4A"/>
    <w:rsid w:val="191C7F43"/>
    <w:rsid w:val="192109A1"/>
    <w:rsid w:val="19256D7A"/>
    <w:rsid w:val="192648A8"/>
    <w:rsid w:val="193275C2"/>
    <w:rsid w:val="194D2005"/>
    <w:rsid w:val="19513FF9"/>
    <w:rsid w:val="1951605F"/>
    <w:rsid w:val="19655A52"/>
    <w:rsid w:val="19663168"/>
    <w:rsid w:val="1975157C"/>
    <w:rsid w:val="197724BD"/>
    <w:rsid w:val="19786B0A"/>
    <w:rsid w:val="197B1715"/>
    <w:rsid w:val="197B4C35"/>
    <w:rsid w:val="19872DAA"/>
    <w:rsid w:val="198A41A1"/>
    <w:rsid w:val="19923902"/>
    <w:rsid w:val="199A2059"/>
    <w:rsid w:val="199B4699"/>
    <w:rsid w:val="19A557AD"/>
    <w:rsid w:val="19B46E10"/>
    <w:rsid w:val="19B51AF7"/>
    <w:rsid w:val="19BF20EE"/>
    <w:rsid w:val="19C152AD"/>
    <w:rsid w:val="19C456C1"/>
    <w:rsid w:val="19C47BB6"/>
    <w:rsid w:val="19CD7BE7"/>
    <w:rsid w:val="19DF018D"/>
    <w:rsid w:val="19F061A1"/>
    <w:rsid w:val="19F42745"/>
    <w:rsid w:val="19F959FC"/>
    <w:rsid w:val="19FA2306"/>
    <w:rsid w:val="19FB62B0"/>
    <w:rsid w:val="1A052F00"/>
    <w:rsid w:val="1A054259"/>
    <w:rsid w:val="1A080580"/>
    <w:rsid w:val="1A081816"/>
    <w:rsid w:val="1A0C5680"/>
    <w:rsid w:val="1A10024A"/>
    <w:rsid w:val="1A122DB7"/>
    <w:rsid w:val="1A165171"/>
    <w:rsid w:val="1A28414D"/>
    <w:rsid w:val="1A2A2A71"/>
    <w:rsid w:val="1A3277A0"/>
    <w:rsid w:val="1A3F7AD3"/>
    <w:rsid w:val="1A483B22"/>
    <w:rsid w:val="1A4858FF"/>
    <w:rsid w:val="1A4C698A"/>
    <w:rsid w:val="1A5D5219"/>
    <w:rsid w:val="1A5E4B5A"/>
    <w:rsid w:val="1A605995"/>
    <w:rsid w:val="1A672B1C"/>
    <w:rsid w:val="1A7471BE"/>
    <w:rsid w:val="1A792BC9"/>
    <w:rsid w:val="1A811F81"/>
    <w:rsid w:val="1A8301C0"/>
    <w:rsid w:val="1A844069"/>
    <w:rsid w:val="1A855388"/>
    <w:rsid w:val="1A872248"/>
    <w:rsid w:val="1A8B5C38"/>
    <w:rsid w:val="1A923A68"/>
    <w:rsid w:val="1A9B2279"/>
    <w:rsid w:val="1A9E6232"/>
    <w:rsid w:val="1AA053CA"/>
    <w:rsid w:val="1AA25907"/>
    <w:rsid w:val="1AA3373F"/>
    <w:rsid w:val="1AA57BA7"/>
    <w:rsid w:val="1AA74D3D"/>
    <w:rsid w:val="1AB34DB4"/>
    <w:rsid w:val="1AB613FD"/>
    <w:rsid w:val="1AC36D41"/>
    <w:rsid w:val="1AC73C6E"/>
    <w:rsid w:val="1ACF5EB8"/>
    <w:rsid w:val="1AD26086"/>
    <w:rsid w:val="1AD85255"/>
    <w:rsid w:val="1ADC75C9"/>
    <w:rsid w:val="1ADD5ACE"/>
    <w:rsid w:val="1AE013F8"/>
    <w:rsid w:val="1AE8570C"/>
    <w:rsid w:val="1AF74664"/>
    <w:rsid w:val="1AFB06A3"/>
    <w:rsid w:val="1B0F19AE"/>
    <w:rsid w:val="1B2160BB"/>
    <w:rsid w:val="1B232E86"/>
    <w:rsid w:val="1B3478CB"/>
    <w:rsid w:val="1B3637AD"/>
    <w:rsid w:val="1B382CC3"/>
    <w:rsid w:val="1B3B043B"/>
    <w:rsid w:val="1B3E0DB5"/>
    <w:rsid w:val="1B454C94"/>
    <w:rsid w:val="1B502645"/>
    <w:rsid w:val="1B506283"/>
    <w:rsid w:val="1B635D7C"/>
    <w:rsid w:val="1B6C0DF0"/>
    <w:rsid w:val="1B720DAE"/>
    <w:rsid w:val="1B7F6005"/>
    <w:rsid w:val="1B852FC7"/>
    <w:rsid w:val="1B9064B0"/>
    <w:rsid w:val="1B9A1502"/>
    <w:rsid w:val="1B9C269A"/>
    <w:rsid w:val="1B9D7D86"/>
    <w:rsid w:val="1B9E64C5"/>
    <w:rsid w:val="1B9E6D4C"/>
    <w:rsid w:val="1BA70DEF"/>
    <w:rsid w:val="1BA71134"/>
    <w:rsid w:val="1BA979E5"/>
    <w:rsid w:val="1BB448FA"/>
    <w:rsid w:val="1BBD43BA"/>
    <w:rsid w:val="1BC01115"/>
    <w:rsid w:val="1BC324D0"/>
    <w:rsid w:val="1BC44015"/>
    <w:rsid w:val="1BCA6284"/>
    <w:rsid w:val="1BD051DE"/>
    <w:rsid w:val="1BE94688"/>
    <w:rsid w:val="1BFE4AE5"/>
    <w:rsid w:val="1BFE5FF9"/>
    <w:rsid w:val="1C013494"/>
    <w:rsid w:val="1C053414"/>
    <w:rsid w:val="1C0E2A32"/>
    <w:rsid w:val="1C0E5660"/>
    <w:rsid w:val="1C132CB9"/>
    <w:rsid w:val="1C1642A1"/>
    <w:rsid w:val="1C1945A6"/>
    <w:rsid w:val="1C221054"/>
    <w:rsid w:val="1C273D33"/>
    <w:rsid w:val="1C273FEB"/>
    <w:rsid w:val="1C286984"/>
    <w:rsid w:val="1C312724"/>
    <w:rsid w:val="1C34627C"/>
    <w:rsid w:val="1C3D79ED"/>
    <w:rsid w:val="1C4032AB"/>
    <w:rsid w:val="1C437911"/>
    <w:rsid w:val="1C46451E"/>
    <w:rsid w:val="1C4672ED"/>
    <w:rsid w:val="1C467AB6"/>
    <w:rsid w:val="1C532C80"/>
    <w:rsid w:val="1C543ED4"/>
    <w:rsid w:val="1C587FCF"/>
    <w:rsid w:val="1C5F0C5B"/>
    <w:rsid w:val="1C6277A9"/>
    <w:rsid w:val="1C707414"/>
    <w:rsid w:val="1C7B213D"/>
    <w:rsid w:val="1C7F54CE"/>
    <w:rsid w:val="1C7F743F"/>
    <w:rsid w:val="1C812925"/>
    <w:rsid w:val="1C8562CA"/>
    <w:rsid w:val="1C8579E0"/>
    <w:rsid w:val="1C8B3D81"/>
    <w:rsid w:val="1C8C4AA9"/>
    <w:rsid w:val="1C8C604B"/>
    <w:rsid w:val="1C92160B"/>
    <w:rsid w:val="1C973EEF"/>
    <w:rsid w:val="1C9E044B"/>
    <w:rsid w:val="1CA03243"/>
    <w:rsid w:val="1CA9618F"/>
    <w:rsid w:val="1CAF5DB2"/>
    <w:rsid w:val="1CB00002"/>
    <w:rsid w:val="1CB355AC"/>
    <w:rsid w:val="1CB40DF1"/>
    <w:rsid w:val="1CB51EA5"/>
    <w:rsid w:val="1CC92C51"/>
    <w:rsid w:val="1CCC26CA"/>
    <w:rsid w:val="1CD2156B"/>
    <w:rsid w:val="1CD41743"/>
    <w:rsid w:val="1CD44D3D"/>
    <w:rsid w:val="1CD51DA1"/>
    <w:rsid w:val="1CDC2B5A"/>
    <w:rsid w:val="1CE348D7"/>
    <w:rsid w:val="1CE45EF5"/>
    <w:rsid w:val="1CE615C9"/>
    <w:rsid w:val="1CE81EAD"/>
    <w:rsid w:val="1CEC56C6"/>
    <w:rsid w:val="1CEE1106"/>
    <w:rsid w:val="1CFB039B"/>
    <w:rsid w:val="1D037029"/>
    <w:rsid w:val="1D050AAF"/>
    <w:rsid w:val="1D1400A4"/>
    <w:rsid w:val="1D15692F"/>
    <w:rsid w:val="1D1B1C90"/>
    <w:rsid w:val="1D1D7103"/>
    <w:rsid w:val="1D1F5791"/>
    <w:rsid w:val="1D2240DB"/>
    <w:rsid w:val="1D2F0222"/>
    <w:rsid w:val="1D2F6608"/>
    <w:rsid w:val="1D3305FF"/>
    <w:rsid w:val="1D395282"/>
    <w:rsid w:val="1D3C1C4E"/>
    <w:rsid w:val="1D4251BA"/>
    <w:rsid w:val="1D435CE6"/>
    <w:rsid w:val="1D5272BD"/>
    <w:rsid w:val="1D551881"/>
    <w:rsid w:val="1D581A3D"/>
    <w:rsid w:val="1D5F5386"/>
    <w:rsid w:val="1D6A206A"/>
    <w:rsid w:val="1D6F0F2F"/>
    <w:rsid w:val="1D7072CE"/>
    <w:rsid w:val="1D73371F"/>
    <w:rsid w:val="1D794A16"/>
    <w:rsid w:val="1D8E540C"/>
    <w:rsid w:val="1D976B47"/>
    <w:rsid w:val="1D9E30A9"/>
    <w:rsid w:val="1DA142D7"/>
    <w:rsid w:val="1DAB1006"/>
    <w:rsid w:val="1DB33C11"/>
    <w:rsid w:val="1DC65562"/>
    <w:rsid w:val="1DD243E0"/>
    <w:rsid w:val="1DD610C1"/>
    <w:rsid w:val="1DE5220B"/>
    <w:rsid w:val="1DE94164"/>
    <w:rsid w:val="1DEE1B11"/>
    <w:rsid w:val="1E0277B2"/>
    <w:rsid w:val="1E1431DE"/>
    <w:rsid w:val="1E164B52"/>
    <w:rsid w:val="1E170546"/>
    <w:rsid w:val="1E180C1F"/>
    <w:rsid w:val="1E206968"/>
    <w:rsid w:val="1E273844"/>
    <w:rsid w:val="1E2F243E"/>
    <w:rsid w:val="1E3B4F6B"/>
    <w:rsid w:val="1E417896"/>
    <w:rsid w:val="1E455D19"/>
    <w:rsid w:val="1E494F38"/>
    <w:rsid w:val="1E495B3F"/>
    <w:rsid w:val="1E502E26"/>
    <w:rsid w:val="1E561AC1"/>
    <w:rsid w:val="1E595CAF"/>
    <w:rsid w:val="1E5C31E8"/>
    <w:rsid w:val="1E5E58F1"/>
    <w:rsid w:val="1E605FBB"/>
    <w:rsid w:val="1E640280"/>
    <w:rsid w:val="1E6607F9"/>
    <w:rsid w:val="1E691070"/>
    <w:rsid w:val="1E7337B7"/>
    <w:rsid w:val="1E7E6BFD"/>
    <w:rsid w:val="1E801158"/>
    <w:rsid w:val="1E805396"/>
    <w:rsid w:val="1E876810"/>
    <w:rsid w:val="1E884F62"/>
    <w:rsid w:val="1E8D6059"/>
    <w:rsid w:val="1E9D6342"/>
    <w:rsid w:val="1E9D6D15"/>
    <w:rsid w:val="1E9E3341"/>
    <w:rsid w:val="1EA329BF"/>
    <w:rsid w:val="1EA77730"/>
    <w:rsid w:val="1EAF5D76"/>
    <w:rsid w:val="1EB00660"/>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240D25"/>
    <w:rsid w:val="1F3B6024"/>
    <w:rsid w:val="1F3E662A"/>
    <w:rsid w:val="1F3E7640"/>
    <w:rsid w:val="1F425753"/>
    <w:rsid w:val="1F456E99"/>
    <w:rsid w:val="1F4E6B74"/>
    <w:rsid w:val="1F4F2219"/>
    <w:rsid w:val="1F614D01"/>
    <w:rsid w:val="1F6961D7"/>
    <w:rsid w:val="1F721405"/>
    <w:rsid w:val="1F7C40BC"/>
    <w:rsid w:val="1F84616C"/>
    <w:rsid w:val="1F8777E8"/>
    <w:rsid w:val="1F935819"/>
    <w:rsid w:val="1F9C61CC"/>
    <w:rsid w:val="1FA6556D"/>
    <w:rsid w:val="1FA94C9B"/>
    <w:rsid w:val="1FAF2571"/>
    <w:rsid w:val="1FB90BD2"/>
    <w:rsid w:val="1FBC3AF8"/>
    <w:rsid w:val="1FC55EDA"/>
    <w:rsid w:val="1FC81323"/>
    <w:rsid w:val="1FCE593C"/>
    <w:rsid w:val="1FCF6E73"/>
    <w:rsid w:val="1FD50096"/>
    <w:rsid w:val="1FD81D98"/>
    <w:rsid w:val="1FE312AC"/>
    <w:rsid w:val="1FE95071"/>
    <w:rsid w:val="1FEC5915"/>
    <w:rsid w:val="1FED32EF"/>
    <w:rsid w:val="1FF03CAD"/>
    <w:rsid w:val="1FFD0A09"/>
    <w:rsid w:val="1FFE44B2"/>
    <w:rsid w:val="1FFF7A0F"/>
    <w:rsid w:val="20083BE7"/>
    <w:rsid w:val="200B53CA"/>
    <w:rsid w:val="200E7173"/>
    <w:rsid w:val="201B5375"/>
    <w:rsid w:val="201E1DBC"/>
    <w:rsid w:val="201E6D7C"/>
    <w:rsid w:val="202E58E4"/>
    <w:rsid w:val="20374152"/>
    <w:rsid w:val="20446081"/>
    <w:rsid w:val="204852AD"/>
    <w:rsid w:val="204E6676"/>
    <w:rsid w:val="205A5AA0"/>
    <w:rsid w:val="20602AB8"/>
    <w:rsid w:val="20677607"/>
    <w:rsid w:val="206960E7"/>
    <w:rsid w:val="206B2648"/>
    <w:rsid w:val="20773A28"/>
    <w:rsid w:val="20815555"/>
    <w:rsid w:val="20845567"/>
    <w:rsid w:val="208574F4"/>
    <w:rsid w:val="208650E9"/>
    <w:rsid w:val="208C4449"/>
    <w:rsid w:val="208F6BAF"/>
    <w:rsid w:val="20966D8D"/>
    <w:rsid w:val="209F715E"/>
    <w:rsid w:val="20A34A65"/>
    <w:rsid w:val="20A462BA"/>
    <w:rsid w:val="20B039D3"/>
    <w:rsid w:val="20B770EB"/>
    <w:rsid w:val="20BC55C4"/>
    <w:rsid w:val="20BF2AAC"/>
    <w:rsid w:val="20C245BE"/>
    <w:rsid w:val="20C7650F"/>
    <w:rsid w:val="20C849C7"/>
    <w:rsid w:val="20C96A07"/>
    <w:rsid w:val="20CE590E"/>
    <w:rsid w:val="20DF2821"/>
    <w:rsid w:val="20DF66D2"/>
    <w:rsid w:val="20E84BAA"/>
    <w:rsid w:val="20EC3F2E"/>
    <w:rsid w:val="20EC7C3E"/>
    <w:rsid w:val="20F533C5"/>
    <w:rsid w:val="210548E9"/>
    <w:rsid w:val="21124D15"/>
    <w:rsid w:val="21163D7A"/>
    <w:rsid w:val="212E31DE"/>
    <w:rsid w:val="21345BE1"/>
    <w:rsid w:val="213533EC"/>
    <w:rsid w:val="213E7119"/>
    <w:rsid w:val="214D1729"/>
    <w:rsid w:val="21530058"/>
    <w:rsid w:val="21651C7E"/>
    <w:rsid w:val="216B76A5"/>
    <w:rsid w:val="21810744"/>
    <w:rsid w:val="21814A51"/>
    <w:rsid w:val="218D6EF5"/>
    <w:rsid w:val="218E583C"/>
    <w:rsid w:val="2195668B"/>
    <w:rsid w:val="219B5592"/>
    <w:rsid w:val="219F69EC"/>
    <w:rsid w:val="21A130EA"/>
    <w:rsid w:val="21B81689"/>
    <w:rsid w:val="21C17010"/>
    <w:rsid w:val="21C267BF"/>
    <w:rsid w:val="21C67F48"/>
    <w:rsid w:val="21C738C5"/>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C11AB"/>
    <w:rsid w:val="221D2FA3"/>
    <w:rsid w:val="221F428A"/>
    <w:rsid w:val="2226635F"/>
    <w:rsid w:val="222D4F0B"/>
    <w:rsid w:val="222D7F95"/>
    <w:rsid w:val="223D7545"/>
    <w:rsid w:val="22411D14"/>
    <w:rsid w:val="22423BE1"/>
    <w:rsid w:val="22454449"/>
    <w:rsid w:val="22480968"/>
    <w:rsid w:val="224B70B3"/>
    <w:rsid w:val="22500810"/>
    <w:rsid w:val="22544814"/>
    <w:rsid w:val="22557E77"/>
    <w:rsid w:val="226347BD"/>
    <w:rsid w:val="22682935"/>
    <w:rsid w:val="227D55A4"/>
    <w:rsid w:val="227E1186"/>
    <w:rsid w:val="227E1569"/>
    <w:rsid w:val="228A4698"/>
    <w:rsid w:val="229154FD"/>
    <w:rsid w:val="22923E51"/>
    <w:rsid w:val="22925971"/>
    <w:rsid w:val="229320A7"/>
    <w:rsid w:val="22945167"/>
    <w:rsid w:val="22955D49"/>
    <w:rsid w:val="22A262CD"/>
    <w:rsid w:val="22A55CD5"/>
    <w:rsid w:val="22BB2BDB"/>
    <w:rsid w:val="22C74EE2"/>
    <w:rsid w:val="22CB6237"/>
    <w:rsid w:val="22CC220D"/>
    <w:rsid w:val="22CD14B5"/>
    <w:rsid w:val="22DA177F"/>
    <w:rsid w:val="22E02C6E"/>
    <w:rsid w:val="22E04FF4"/>
    <w:rsid w:val="22E105B9"/>
    <w:rsid w:val="22E1121B"/>
    <w:rsid w:val="22EA4C70"/>
    <w:rsid w:val="22F34CBC"/>
    <w:rsid w:val="22F75251"/>
    <w:rsid w:val="22F86F75"/>
    <w:rsid w:val="22FB4D32"/>
    <w:rsid w:val="230D14B8"/>
    <w:rsid w:val="230F4FBB"/>
    <w:rsid w:val="23131055"/>
    <w:rsid w:val="231652FA"/>
    <w:rsid w:val="23297B90"/>
    <w:rsid w:val="232E3A0F"/>
    <w:rsid w:val="233C6F76"/>
    <w:rsid w:val="234449F5"/>
    <w:rsid w:val="23460DA0"/>
    <w:rsid w:val="2350179D"/>
    <w:rsid w:val="23536618"/>
    <w:rsid w:val="2356438A"/>
    <w:rsid w:val="23577BCB"/>
    <w:rsid w:val="236973F7"/>
    <w:rsid w:val="236A6307"/>
    <w:rsid w:val="236F277C"/>
    <w:rsid w:val="237249B8"/>
    <w:rsid w:val="23747A54"/>
    <w:rsid w:val="23773385"/>
    <w:rsid w:val="237B52DE"/>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F61D5F"/>
    <w:rsid w:val="23F70BA5"/>
    <w:rsid w:val="23F93D0D"/>
    <w:rsid w:val="23FC5219"/>
    <w:rsid w:val="23FE4B3E"/>
    <w:rsid w:val="240464DF"/>
    <w:rsid w:val="2405417E"/>
    <w:rsid w:val="240C6FB5"/>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444F3"/>
    <w:rsid w:val="246C4F60"/>
    <w:rsid w:val="247C27F7"/>
    <w:rsid w:val="24821EA2"/>
    <w:rsid w:val="248B0DC8"/>
    <w:rsid w:val="2491334F"/>
    <w:rsid w:val="24967323"/>
    <w:rsid w:val="249D5FC8"/>
    <w:rsid w:val="24A1538E"/>
    <w:rsid w:val="24A800E5"/>
    <w:rsid w:val="24B2386D"/>
    <w:rsid w:val="24B733A6"/>
    <w:rsid w:val="24B9450F"/>
    <w:rsid w:val="24BB53AC"/>
    <w:rsid w:val="24C83F94"/>
    <w:rsid w:val="24CB7930"/>
    <w:rsid w:val="24D07456"/>
    <w:rsid w:val="24E11BFA"/>
    <w:rsid w:val="24E214C5"/>
    <w:rsid w:val="24F60CDA"/>
    <w:rsid w:val="24FE42EB"/>
    <w:rsid w:val="24FE4BE5"/>
    <w:rsid w:val="250937F2"/>
    <w:rsid w:val="250D450C"/>
    <w:rsid w:val="25134332"/>
    <w:rsid w:val="25141A5B"/>
    <w:rsid w:val="2521546A"/>
    <w:rsid w:val="252242ED"/>
    <w:rsid w:val="2528394C"/>
    <w:rsid w:val="252A2BA6"/>
    <w:rsid w:val="252B49E0"/>
    <w:rsid w:val="252E2DE3"/>
    <w:rsid w:val="2531380D"/>
    <w:rsid w:val="253B4663"/>
    <w:rsid w:val="25426FFF"/>
    <w:rsid w:val="25440E2B"/>
    <w:rsid w:val="254A35DD"/>
    <w:rsid w:val="25657E8F"/>
    <w:rsid w:val="25734B61"/>
    <w:rsid w:val="25811945"/>
    <w:rsid w:val="25825D58"/>
    <w:rsid w:val="25834CB1"/>
    <w:rsid w:val="25876D2A"/>
    <w:rsid w:val="258F6BC4"/>
    <w:rsid w:val="25975923"/>
    <w:rsid w:val="25994F9B"/>
    <w:rsid w:val="259A3D0A"/>
    <w:rsid w:val="25A34648"/>
    <w:rsid w:val="25A76B90"/>
    <w:rsid w:val="25A95F3E"/>
    <w:rsid w:val="25B7161F"/>
    <w:rsid w:val="25BF6041"/>
    <w:rsid w:val="25C35718"/>
    <w:rsid w:val="25C71304"/>
    <w:rsid w:val="25CD012B"/>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147FA8"/>
    <w:rsid w:val="261C6747"/>
    <w:rsid w:val="26395C92"/>
    <w:rsid w:val="26422F11"/>
    <w:rsid w:val="26465DA0"/>
    <w:rsid w:val="26497858"/>
    <w:rsid w:val="26503024"/>
    <w:rsid w:val="265A5249"/>
    <w:rsid w:val="265C76BB"/>
    <w:rsid w:val="266237C3"/>
    <w:rsid w:val="266749F2"/>
    <w:rsid w:val="267150F2"/>
    <w:rsid w:val="267365A0"/>
    <w:rsid w:val="267550B9"/>
    <w:rsid w:val="269122A9"/>
    <w:rsid w:val="269C0A66"/>
    <w:rsid w:val="26A31549"/>
    <w:rsid w:val="26B06894"/>
    <w:rsid w:val="26B07208"/>
    <w:rsid w:val="26B14D81"/>
    <w:rsid w:val="26B35A65"/>
    <w:rsid w:val="26C472EC"/>
    <w:rsid w:val="26C6392A"/>
    <w:rsid w:val="26CB2240"/>
    <w:rsid w:val="26D66D39"/>
    <w:rsid w:val="26DE6FE9"/>
    <w:rsid w:val="26E36BDC"/>
    <w:rsid w:val="26EC491A"/>
    <w:rsid w:val="26ED73E1"/>
    <w:rsid w:val="26F017FB"/>
    <w:rsid w:val="26F01FFB"/>
    <w:rsid w:val="26F30F94"/>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1F22"/>
    <w:rsid w:val="27383DD4"/>
    <w:rsid w:val="2739124B"/>
    <w:rsid w:val="273D2762"/>
    <w:rsid w:val="27470B72"/>
    <w:rsid w:val="27525E32"/>
    <w:rsid w:val="275E7380"/>
    <w:rsid w:val="27604751"/>
    <w:rsid w:val="27691E6A"/>
    <w:rsid w:val="276E21E4"/>
    <w:rsid w:val="27700C9E"/>
    <w:rsid w:val="2778582E"/>
    <w:rsid w:val="27806765"/>
    <w:rsid w:val="27832596"/>
    <w:rsid w:val="278C1620"/>
    <w:rsid w:val="278D3D24"/>
    <w:rsid w:val="278F4242"/>
    <w:rsid w:val="279B1E53"/>
    <w:rsid w:val="27AA3521"/>
    <w:rsid w:val="27AB7429"/>
    <w:rsid w:val="27B0675F"/>
    <w:rsid w:val="27B31EBD"/>
    <w:rsid w:val="27BD5A21"/>
    <w:rsid w:val="27C55A4B"/>
    <w:rsid w:val="27C57B2B"/>
    <w:rsid w:val="27C8029E"/>
    <w:rsid w:val="27C9058B"/>
    <w:rsid w:val="27C962AF"/>
    <w:rsid w:val="27CC78AC"/>
    <w:rsid w:val="27CF5A99"/>
    <w:rsid w:val="27D20B28"/>
    <w:rsid w:val="27D72FE7"/>
    <w:rsid w:val="27D74A6C"/>
    <w:rsid w:val="27D86029"/>
    <w:rsid w:val="27D86C6A"/>
    <w:rsid w:val="27DD45ED"/>
    <w:rsid w:val="27E3651B"/>
    <w:rsid w:val="27E864CC"/>
    <w:rsid w:val="27EC25E3"/>
    <w:rsid w:val="27ED0939"/>
    <w:rsid w:val="27F00CDF"/>
    <w:rsid w:val="27F1498B"/>
    <w:rsid w:val="27F65686"/>
    <w:rsid w:val="27FC5B57"/>
    <w:rsid w:val="27FC7DF9"/>
    <w:rsid w:val="27FF3E3E"/>
    <w:rsid w:val="28027A71"/>
    <w:rsid w:val="28103F01"/>
    <w:rsid w:val="281A2FA6"/>
    <w:rsid w:val="281F4F67"/>
    <w:rsid w:val="282D12B3"/>
    <w:rsid w:val="28321DB3"/>
    <w:rsid w:val="283744B4"/>
    <w:rsid w:val="28485D62"/>
    <w:rsid w:val="284B63DC"/>
    <w:rsid w:val="284B7902"/>
    <w:rsid w:val="284C7374"/>
    <w:rsid w:val="285560D7"/>
    <w:rsid w:val="28572C5D"/>
    <w:rsid w:val="286E4E70"/>
    <w:rsid w:val="286E74F1"/>
    <w:rsid w:val="28712E5F"/>
    <w:rsid w:val="28760CA0"/>
    <w:rsid w:val="28796ED0"/>
    <w:rsid w:val="287B218C"/>
    <w:rsid w:val="287E31E4"/>
    <w:rsid w:val="28874F6C"/>
    <w:rsid w:val="28875435"/>
    <w:rsid w:val="288A05DD"/>
    <w:rsid w:val="28937D89"/>
    <w:rsid w:val="289458D7"/>
    <w:rsid w:val="289B0550"/>
    <w:rsid w:val="28C96C14"/>
    <w:rsid w:val="28CB766F"/>
    <w:rsid w:val="28E138E3"/>
    <w:rsid w:val="28E74216"/>
    <w:rsid w:val="28E87EE4"/>
    <w:rsid w:val="28ED236C"/>
    <w:rsid w:val="28F32043"/>
    <w:rsid w:val="28F63CF6"/>
    <w:rsid w:val="2902271F"/>
    <w:rsid w:val="2903396A"/>
    <w:rsid w:val="29081EE9"/>
    <w:rsid w:val="291219C3"/>
    <w:rsid w:val="29124309"/>
    <w:rsid w:val="29180A79"/>
    <w:rsid w:val="29215B9F"/>
    <w:rsid w:val="2921752E"/>
    <w:rsid w:val="29297F55"/>
    <w:rsid w:val="292A5408"/>
    <w:rsid w:val="293156A3"/>
    <w:rsid w:val="293B1F9E"/>
    <w:rsid w:val="293D60A6"/>
    <w:rsid w:val="293E09E9"/>
    <w:rsid w:val="294E766A"/>
    <w:rsid w:val="296F6B31"/>
    <w:rsid w:val="29712139"/>
    <w:rsid w:val="297161D3"/>
    <w:rsid w:val="29731128"/>
    <w:rsid w:val="2977119B"/>
    <w:rsid w:val="2978319A"/>
    <w:rsid w:val="29787E0C"/>
    <w:rsid w:val="297E4223"/>
    <w:rsid w:val="29886D49"/>
    <w:rsid w:val="29897A2F"/>
    <w:rsid w:val="298F42F8"/>
    <w:rsid w:val="299327C4"/>
    <w:rsid w:val="29A02DFF"/>
    <w:rsid w:val="29A06A6B"/>
    <w:rsid w:val="29A3014B"/>
    <w:rsid w:val="29A74CBD"/>
    <w:rsid w:val="29A80BF5"/>
    <w:rsid w:val="29A82FAD"/>
    <w:rsid w:val="29B01C34"/>
    <w:rsid w:val="29B16357"/>
    <w:rsid w:val="29B256CC"/>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262E50"/>
    <w:rsid w:val="2A285E13"/>
    <w:rsid w:val="2A332D4E"/>
    <w:rsid w:val="2A35650F"/>
    <w:rsid w:val="2A3B6454"/>
    <w:rsid w:val="2A405845"/>
    <w:rsid w:val="2A415DDF"/>
    <w:rsid w:val="2A4D593F"/>
    <w:rsid w:val="2A54453D"/>
    <w:rsid w:val="2A5657A8"/>
    <w:rsid w:val="2A5C6B8D"/>
    <w:rsid w:val="2A691380"/>
    <w:rsid w:val="2A6D3C84"/>
    <w:rsid w:val="2A6E31F8"/>
    <w:rsid w:val="2A6E6E8F"/>
    <w:rsid w:val="2A7A3E7F"/>
    <w:rsid w:val="2A7A56A2"/>
    <w:rsid w:val="2A842C00"/>
    <w:rsid w:val="2A860771"/>
    <w:rsid w:val="2A870AD2"/>
    <w:rsid w:val="2A87174E"/>
    <w:rsid w:val="2A8A2F9C"/>
    <w:rsid w:val="2A9176E1"/>
    <w:rsid w:val="2A93400E"/>
    <w:rsid w:val="2A974435"/>
    <w:rsid w:val="2AA07010"/>
    <w:rsid w:val="2AAC5A06"/>
    <w:rsid w:val="2AAE4375"/>
    <w:rsid w:val="2AAF121A"/>
    <w:rsid w:val="2AB4795A"/>
    <w:rsid w:val="2AB529AD"/>
    <w:rsid w:val="2ABB3D6F"/>
    <w:rsid w:val="2ABF650D"/>
    <w:rsid w:val="2AC70B30"/>
    <w:rsid w:val="2ACC2AAF"/>
    <w:rsid w:val="2ACE5101"/>
    <w:rsid w:val="2AD20F52"/>
    <w:rsid w:val="2AD267B7"/>
    <w:rsid w:val="2AD54FB7"/>
    <w:rsid w:val="2AD74744"/>
    <w:rsid w:val="2AD91AC2"/>
    <w:rsid w:val="2ADB3DDF"/>
    <w:rsid w:val="2AE57C95"/>
    <w:rsid w:val="2AE90B77"/>
    <w:rsid w:val="2AF04C7E"/>
    <w:rsid w:val="2AF35C8B"/>
    <w:rsid w:val="2B0C0EEE"/>
    <w:rsid w:val="2B0E637E"/>
    <w:rsid w:val="2B132265"/>
    <w:rsid w:val="2B132806"/>
    <w:rsid w:val="2B214776"/>
    <w:rsid w:val="2B2843BE"/>
    <w:rsid w:val="2B313FC1"/>
    <w:rsid w:val="2B347C14"/>
    <w:rsid w:val="2B39348E"/>
    <w:rsid w:val="2B437285"/>
    <w:rsid w:val="2B4852EB"/>
    <w:rsid w:val="2B494377"/>
    <w:rsid w:val="2B4D695C"/>
    <w:rsid w:val="2B514803"/>
    <w:rsid w:val="2B571525"/>
    <w:rsid w:val="2B5B3A20"/>
    <w:rsid w:val="2B5C497B"/>
    <w:rsid w:val="2B5F0C31"/>
    <w:rsid w:val="2B637D4B"/>
    <w:rsid w:val="2B6B1684"/>
    <w:rsid w:val="2B7B70BF"/>
    <w:rsid w:val="2B7D4CB2"/>
    <w:rsid w:val="2B7E23C3"/>
    <w:rsid w:val="2B853AF3"/>
    <w:rsid w:val="2B8B422C"/>
    <w:rsid w:val="2B915845"/>
    <w:rsid w:val="2B942375"/>
    <w:rsid w:val="2BA07D38"/>
    <w:rsid w:val="2BC40957"/>
    <w:rsid w:val="2BCB5DAA"/>
    <w:rsid w:val="2BCD0710"/>
    <w:rsid w:val="2BD01978"/>
    <w:rsid w:val="2BD52D9B"/>
    <w:rsid w:val="2BD65380"/>
    <w:rsid w:val="2BE02FAC"/>
    <w:rsid w:val="2BE725D0"/>
    <w:rsid w:val="2BE838DD"/>
    <w:rsid w:val="2BF369B9"/>
    <w:rsid w:val="2BFC0A4A"/>
    <w:rsid w:val="2C094904"/>
    <w:rsid w:val="2C0E55A1"/>
    <w:rsid w:val="2C0F50D9"/>
    <w:rsid w:val="2C146190"/>
    <w:rsid w:val="2C1F6F40"/>
    <w:rsid w:val="2C233B57"/>
    <w:rsid w:val="2C3A7BF6"/>
    <w:rsid w:val="2C425BCE"/>
    <w:rsid w:val="2C431BF7"/>
    <w:rsid w:val="2C44676A"/>
    <w:rsid w:val="2C455BD0"/>
    <w:rsid w:val="2C492F4A"/>
    <w:rsid w:val="2C495C38"/>
    <w:rsid w:val="2C4A080C"/>
    <w:rsid w:val="2C54533B"/>
    <w:rsid w:val="2C591378"/>
    <w:rsid w:val="2C5A1CD2"/>
    <w:rsid w:val="2C5B70FD"/>
    <w:rsid w:val="2C6457AD"/>
    <w:rsid w:val="2C6D0C8C"/>
    <w:rsid w:val="2C7204AA"/>
    <w:rsid w:val="2C735AE4"/>
    <w:rsid w:val="2C797A76"/>
    <w:rsid w:val="2C845095"/>
    <w:rsid w:val="2C8C6BBF"/>
    <w:rsid w:val="2C8F4862"/>
    <w:rsid w:val="2C98472C"/>
    <w:rsid w:val="2C987ABA"/>
    <w:rsid w:val="2C9E5AC8"/>
    <w:rsid w:val="2CA2721B"/>
    <w:rsid w:val="2CA33CAE"/>
    <w:rsid w:val="2CA541DE"/>
    <w:rsid w:val="2CAC6D87"/>
    <w:rsid w:val="2CB14607"/>
    <w:rsid w:val="2CB22544"/>
    <w:rsid w:val="2CB600FC"/>
    <w:rsid w:val="2CBB77A2"/>
    <w:rsid w:val="2CCF5ED8"/>
    <w:rsid w:val="2CDB644A"/>
    <w:rsid w:val="2CDC0E59"/>
    <w:rsid w:val="2CDD6A28"/>
    <w:rsid w:val="2CE23042"/>
    <w:rsid w:val="2CE50F85"/>
    <w:rsid w:val="2CE55282"/>
    <w:rsid w:val="2CE8526F"/>
    <w:rsid w:val="2CE97006"/>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A6B28"/>
    <w:rsid w:val="2D3C2966"/>
    <w:rsid w:val="2D3D0E02"/>
    <w:rsid w:val="2D4141FA"/>
    <w:rsid w:val="2D4E0DBB"/>
    <w:rsid w:val="2D4F14FE"/>
    <w:rsid w:val="2D5436FA"/>
    <w:rsid w:val="2D5A38E7"/>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06C4"/>
    <w:rsid w:val="2D99471C"/>
    <w:rsid w:val="2DA10474"/>
    <w:rsid w:val="2DA3330E"/>
    <w:rsid w:val="2DA7732A"/>
    <w:rsid w:val="2DAB037A"/>
    <w:rsid w:val="2DAC3A86"/>
    <w:rsid w:val="2DB02B94"/>
    <w:rsid w:val="2DC05482"/>
    <w:rsid w:val="2DC66A91"/>
    <w:rsid w:val="2DC92AA1"/>
    <w:rsid w:val="2DCE5F69"/>
    <w:rsid w:val="2DD2538B"/>
    <w:rsid w:val="2DD76FA6"/>
    <w:rsid w:val="2DDA05BC"/>
    <w:rsid w:val="2DDD2874"/>
    <w:rsid w:val="2DDD4F0A"/>
    <w:rsid w:val="2DE76C0B"/>
    <w:rsid w:val="2DEA2D6C"/>
    <w:rsid w:val="2DF85CF6"/>
    <w:rsid w:val="2E1D73B4"/>
    <w:rsid w:val="2E341C76"/>
    <w:rsid w:val="2E34792A"/>
    <w:rsid w:val="2E3D51A9"/>
    <w:rsid w:val="2E437E73"/>
    <w:rsid w:val="2E442C33"/>
    <w:rsid w:val="2E4603AE"/>
    <w:rsid w:val="2E5034DC"/>
    <w:rsid w:val="2E572AB9"/>
    <w:rsid w:val="2E5C3103"/>
    <w:rsid w:val="2E610EF2"/>
    <w:rsid w:val="2E611ED5"/>
    <w:rsid w:val="2E653CCA"/>
    <w:rsid w:val="2E7258DC"/>
    <w:rsid w:val="2E79458E"/>
    <w:rsid w:val="2E797A78"/>
    <w:rsid w:val="2E7B465F"/>
    <w:rsid w:val="2E7C6A94"/>
    <w:rsid w:val="2E824575"/>
    <w:rsid w:val="2E8321A5"/>
    <w:rsid w:val="2E8D14A8"/>
    <w:rsid w:val="2E9B7377"/>
    <w:rsid w:val="2E9F6D95"/>
    <w:rsid w:val="2EAE350B"/>
    <w:rsid w:val="2EB20A6C"/>
    <w:rsid w:val="2EB46EF5"/>
    <w:rsid w:val="2EBC2287"/>
    <w:rsid w:val="2EBF350E"/>
    <w:rsid w:val="2EC255A6"/>
    <w:rsid w:val="2EC73D17"/>
    <w:rsid w:val="2ECA3116"/>
    <w:rsid w:val="2ED53442"/>
    <w:rsid w:val="2ED86B51"/>
    <w:rsid w:val="2EDD63F4"/>
    <w:rsid w:val="2EDD7896"/>
    <w:rsid w:val="2EDE0C1A"/>
    <w:rsid w:val="2EE1752A"/>
    <w:rsid w:val="2EEA6E65"/>
    <w:rsid w:val="2EF33C7C"/>
    <w:rsid w:val="2EF66AA8"/>
    <w:rsid w:val="2EF71ED2"/>
    <w:rsid w:val="2EFC1D5B"/>
    <w:rsid w:val="2EFC465B"/>
    <w:rsid w:val="2F00011D"/>
    <w:rsid w:val="2F00052B"/>
    <w:rsid w:val="2F0367CD"/>
    <w:rsid w:val="2F0B683E"/>
    <w:rsid w:val="2F1251F2"/>
    <w:rsid w:val="2F1C69E5"/>
    <w:rsid w:val="2F2045CC"/>
    <w:rsid w:val="2F2D445E"/>
    <w:rsid w:val="2F382E70"/>
    <w:rsid w:val="2F3B66C2"/>
    <w:rsid w:val="2F3F0791"/>
    <w:rsid w:val="2F4F6FBB"/>
    <w:rsid w:val="2F637E5E"/>
    <w:rsid w:val="2F6477FB"/>
    <w:rsid w:val="2F664E2B"/>
    <w:rsid w:val="2F6C7BE3"/>
    <w:rsid w:val="2F6E5FE9"/>
    <w:rsid w:val="2F6E7409"/>
    <w:rsid w:val="2F770839"/>
    <w:rsid w:val="2F783485"/>
    <w:rsid w:val="2F786918"/>
    <w:rsid w:val="2F7D78D2"/>
    <w:rsid w:val="2F7F5C0B"/>
    <w:rsid w:val="2F807483"/>
    <w:rsid w:val="2F8B3D85"/>
    <w:rsid w:val="2F9B5627"/>
    <w:rsid w:val="2F9C2BF4"/>
    <w:rsid w:val="2F9E25D7"/>
    <w:rsid w:val="2FA6492D"/>
    <w:rsid w:val="2FC86676"/>
    <w:rsid w:val="2FD150ED"/>
    <w:rsid w:val="2FD17A1B"/>
    <w:rsid w:val="2FD71CA4"/>
    <w:rsid w:val="2FDC4A8D"/>
    <w:rsid w:val="2FDE080C"/>
    <w:rsid w:val="2FE53383"/>
    <w:rsid w:val="2FE8394E"/>
    <w:rsid w:val="2FF54A3C"/>
    <w:rsid w:val="2FF76952"/>
    <w:rsid w:val="2FF93066"/>
    <w:rsid w:val="2FF93F61"/>
    <w:rsid w:val="3016402E"/>
    <w:rsid w:val="301A71CE"/>
    <w:rsid w:val="301E049B"/>
    <w:rsid w:val="301F02D2"/>
    <w:rsid w:val="30220B1D"/>
    <w:rsid w:val="302A4BE6"/>
    <w:rsid w:val="303310F6"/>
    <w:rsid w:val="30362175"/>
    <w:rsid w:val="303C7735"/>
    <w:rsid w:val="303E1260"/>
    <w:rsid w:val="304478EC"/>
    <w:rsid w:val="304E0AA2"/>
    <w:rsid w:val="30515C8E"/>
    <w:rsid w:val="30574F7A"/>
    <w:rsid w:val="306C64E5"/>
    <w:rsid w:val="30717C09"/>
    <w:rsid w:val="307513DE"/>
    <w:rsid w:val="30772340"/>
    <w:rsid w:val="3084355D"/>
    <w:rsid w:val="308568A9"/>
    <w:rsid w:val="30926F91"/>
    <w:rsid w:val="30962F3E"/>
    <w:rsid w:val="309640D4"/>
    <w:rsid w:val="30AA2585"/>
    <w:rsid w:val="30B40287"/>
    <w:rsid w:val="30B45885"/>
    <w:rsid w:val="30C0253A"/>
    <w:rsid w:val="30C02B1D"/>
    <w:rsid w:val="30C16A19"/>
    <w:rsid w:val="30CB5800"/>
    <w:rsid w:val="30D061F2"/>
    <w:rsid w:val="30D32236"/>
    <w:rsid w:val="30D923A4"/>
    <w:rsid w:val="30F47FF1"/>
    <w:rsid w:val="30FA09A4"/>
    <w:rsid w:val="30FA7530"/>
    <w:rsid w:val="30FF2795"/>
    <w:rsid w:val="30FF4EEE"/>
    <w:rsid w:val="31023EC5"/>
    <w:rsid w:val="310358FD"/>
    <w:rsid w:val="310375CD"/>
    <w:rsid w:val="310E6387"/>
    <w:rsid w:val="31135D27"/>
    <w:rsid w:val="311611B3"/>
    <w:rsid w:val="31254E51"/>
    <w:rsid w:val="31326CE2"/>
    <w:rsid w:val="313C313D"/>
    <w:rsid w:val="313F6DC6"/>
    <w:rsid w:val="3148394C"/>
    <w:rsid w:val="31483F70"/>
    <w:rsid w:val="314B6D10"/>
    <w:rsid w:val="314E236F"/>
    <w:rsid w:val="3150690A"/>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BB2DB3"/>
    <w:rsid w:val="31C42D2F"/>
    <w:rsid w:val="31C72E6B"/>
    <w:rsid w:val="31D20051"/>
    <w:rsid w:val="31D616CE"/>
    <w:rsid w:val="31E20FFB"/>
    <w:rsid w:val="31EF7EE8"/>
    <w:rsid w:val="31F95F6A"/>
    <w:rsid w:val="31FF1FAB"/>
    <w:rsid w:val="32007C7A"/>
    <w:rsid w:val="3201404F"/>
    <w:rsid w:val="320353D2"/>
    <w:rsid w:val="320901F5"/>
    <w:rsid w:val="320B7CCB"/>
    <w:rsid w:val="320F5A63"/>
    <w:rsid w:val="32105DE8"/>
    <w:rsid w:val="321E202E"/>
    <w:rsid w:val="3229013E"/>
    <w:rsid w:val="322C01FF"/>
    <w:rsid w:val="322E16DE"/>
    <w:rsid w:val="32344E4E"/>
    <w:rsid w:val="3235187E"/>
    <w:rsid w:val="3237186B"/>
    <w:rsid w:val="323B006C"/>
    <w:rsid w:val="323B6798"/>
    <w:rsid w:val="324B741D"/>
    <w:rsid w:val="32537B57"/>
    <w:rsid w:val="325779E7"/>
    <w:rsid w:val="325979D3"/>
    <w:rsid w:val="325F618E"/>
    <w:rsid w:val="32656FF1"/>
    <w:rsid w:val="326D711C"/>
    <w:rsid w:val="32757E99"/>
    <w:rsid w:val="327B1141"/>
    <w:rsid w:val="327C6B62"/>
    <w:rsid w:val="327D43E5"/>
    <w:rsid w:val="32850648"/>
    <w:rsid w:val="328D2DCB"/>
    <w:rsid w:val="328F5534"/>
    <w:rsid w:val="32976C24"/>
    <w:rsid w:val="329A6ACE"/>
    <w:rsid w:val="329F241C"/>
    <w:rsid w:val="32A145CA"/>
    <w:rsid w:val="32A230DB"/>
    <w:rsid w:val="32A35663"/>
    <w:rsid w:val="32A376E6"/>
    <w:rsid w:val="32BE54F7"/>
    <w:rsid w:val="32CE0EEF"/>
    <w:rsid w:val="32CE7F7A"/>
    <w:rsid w:val="32D73F74"/>
    <w:rsid w:val="32DC52A0"/>
    <w:rsid w:val="32DF351E"/>
    <w:rsid w:val="32EE5E41"/>
    <w:rsid w:val="32EF7C1D"/>
    <w:rsid w:val="32F40F87"/>
    <w:rsid w:val="32F572FF"/>
    <w:rsid w:val="32FD7C76"/>
    <w:rsid w:val="33054157"/>
    <w:rsid w:val="330C22FC"/>
    <w:rsid w:val="330F4B7A"/>
    <w:rsid w:val="33277E81"/>
    <w:rsid w:val="332B1B27"/>
    <w:rsid w:val="332D0D86"/>
    <w:rsid w:val="33347CEB"/>
    <w:rsid w:val="33404DED"/>
    <w:rsid w:val="334F1631"/>
    <w:rsid w:val="334F5309"/>
    <w:rsid w:val="335219C2"/>
    <w:rsid w:val="3352619D"/>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7508B"/>
    <w:rsid w:val="338B7689"/>
    <w:rsid w:val="338B7801"/>
    <w:rsid w:val="33927DE1"/>
    <w:rsid w:val="339C4EDC"/>
    <w:rsid w:val="33A47053"/>
    <w:rsid w:val="33A61A17"/>
    <w:rsid w:val="33AE05AB"/>
    <w:rsid w:val="33B210BF"/>
    <w:rsid w:val="33B82A88"/>
    <w:rsid w:val="33BA4F6D"/>
    <w:rsid w:val="33BF4199"/>
    <w:rsid w:val="33CD6498"/>
    <w:rsid w:val="33D26546"/>
    <w:rsid w:val="33D7554F"/>
    <w:rsid w:val="33DA3F8C"/>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2271D"/>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A4E00"/>
    <w:rsid w:val="349F62D2"/>
    <w:rsid w:val="34A46A21"/>
    <w:rsid w:val="34AD603F"/>
    <w:rsid w:val="34B263EA"/>
    <w:rsid w:val="34BD02AE"/>
    <w:rsid w:val="34BF775E"/>
    <w:rsid w:val="34C73D99"/>
    <w:rsid w:val="34DA26A8"/>
    <w:rsid w:val="34E56BEF"/>
    <w:rsid w:val="34E960F1"/>
    <w:rsid w:val="34F664A7"/>
    <w:rsid w:val="34FE098C"/>
    <w:rsid w:val="3505357C"/>
    <w:rsid w:val="350B42D5"/>
    <w:rsid w:val="350F6258"/>
    <w:rsid w:val="351070DD"/>
    <w:rsid w:val="35183779"/>
    <w:rsid w:val="351A603C"/>
    <w:rsid w:val="351E4C99"/>
    <w:rsid w:val="352821F6"/>
    <w:rsid w:val="352B4FC9"/>
    <w:rsid w:val="352F7252"/>
    <w:rsid w:val="35324954"/>
    <w:rsid w:val="3533698A"/>
    <w:rsid w:val="35384E93"/>
    <w:rsid w:val="35387F19"/>
    <w:rsid w:val="3539550B"/>
    <w:rsid w:val="353D1446"/>
    <w:rsid w:val="353F11E5"/>
    <w:rsid w:val="355406E8"/>
    <w:rsid w:val="35595818"/>
    <w:rsid w:val="356678B4"/>
    <w:rsid w:val="35704438"/>
    <w:rsid w:val="35727907"/>
    <w:rsid w:val="3573649F"/>
    <w:rsid w:val="357E4B0A"/>
    <w:rsid w:val="35866D7F"/>
    <w:rsid w:val="358F6BDF"/>
    <w:rsid w:val="359500C3"/>
    <w:rsid w:val="359E770E"/>
    <w:rsid w:val="35A6711C"/>
    <w:rsid w:val="35AC65C1"/>
    <w:rsid w:val="35B205A9"/>
    <w:rsid w:val="35BD2339"/>
    <w:rsid w:val="35C06D50"/>
    <w:rsid w:val="35C7260C"/>
    <w:rsid w:val="35C97ECF"/>
    <w:rsid w:val="35CD46FA"/>
    <w:rsid w:val="35CD6F14"/>
    <w:rsid w:val="35CD711E"/>
    <w:rsid w:val="35CE32A6"/>
    <w:rsid w:val="35CF25F7"/>
    <w:rsid w:val="35D24294"/>
    <w:rsid w:val="35D71152"/>
    <w:rsid w:val="35DC6E3F"/>
    <w:rsid w:val="35FF6F3C"/>
    <w:rsid w:val="36075F27"/>
    <w:rsid w:val="36121506"/>
    <w:rsid w:val="36177C8E"/>
    <w:rsid w:val="36180AB0"/>
    <w:rsid w:val="361D7A43"/>
    <w:rsid w:val="361F3323"/>
    <w:rsid w:val="362215F6"/>
    <w:rsid w:val="36221EBE"/>
    <w:rsid w:val="363A4CD5"/>
    <w:rsid w:val="363D226F"/>
    <w:rsid w:val="36402EFA"/>
    <w:rsid w:val="36411B8A"/>
    <w:rsid w:val="36496A51"/>
    <w:rsid w:val="365623F6"/>
    <w:rsid w:val="365656AA"/>
    <w:rsid w:val="365B73B7"/>
    <w:rsid w:val="366D3A34"/>
    <w:rsid w:val="367407E3"/>
    <w:rsid w:val="368230C6"/>
    <w:rsid w:val="36843A03"/>
    <w:rsid w:val="36867C3B"/>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55D"/>
    <w:rsid w:val="36B34858"/>
    <w:rsid w:val="36B73F35"/>
    <w:rsid w:val="36BA34B3"/>
    <w:rsid w:val="36BD0DC4"/>
    <w:rsid w:val="36D0014D"/>
    <w:rsid w:val="36D51D00"/>
    <w:rsid w:val="36D66B5E"/>
    <w:rsid w:val="36D94FAB"/>
    <w:rsid w:val="36DF08C2"/>
    <w:rsid w:val="36E14014"/>
    <w:rsid w:val="36E77C80"/>
    <w:rsid w:val="36E93760"/>
    <w:rsid w:val="36F9022B"/>
    <w:rsid w:val="36FA2C03"/>
    <w:rsid w:val="36FB4305"/>
    <w:rsid w:val="36FE3EA5"/>
    <w:rsid w:val="37041577"/>
    <w:rsid w:val="370463B4"/>
    <w:rsid w:val="37066E6D"/>
    <w:rsid w:val="3708597F"/>
    <w:rsid w:val="3709624C"/>
    <w:rsid w:val="37096815"/>
    <w:rsid w:val="370F7060"/>
    <w:rsid w:val="37134801"/>
    <w:rsid w:val="37173233"/>
    <w:rsid w:val="371C344E"/>
    <w:rsid w:val="372136EF"/>
    <w:rsid w:val="37226558"/>
    <w:rsid w:val="372279F7"/>
    <w:rsid w:val="3725342F"/>
    <w:rsid w:val="372E0AF9"/>
    <w:rsid w:val="372F6BFE"/>
    <w:rsid w:val="3734159D"/>
    <w:rsid w:val="37382526"/>
    <w:rsid w:val="373B4C89"/>
    <w:rsid w:val="373D5A84"/>
    <w:rsid w:val="37477EE4"/>
    <w:rsid w:val="3750256A"/>
    <w:rsid w:val="37503E6C"/>
    <w:rsid w:val="3758590A"/>
    <w:rsid w:val="375E77B2"/>
    <w:rsid w:val="375F57C4"/>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52B3F"/>
    <w:rsid w:val="37C94031"/>
    <w:rsid w:val="37CA042E"/>
    <w:rsid w:val="37D44549"/>
    <w:rsid w:val="37D52A12"/>
    <w:rsid w:val="37D77B09"/>
    <w:rsid w:val="37D97EDE"/>
    <w:rsid w:val="37E419E0"/>
    <w:rsid w:val="37E76E34"/>
    <w:rsid w:val="37EB0B08"/>
    <w:rsid w:val="37FA1530"/>
    <w:rsid w:val="37FB7365"/>
    <w:rsid w:val="38054B4C"/>
    <w:rsid w:val="380939E1"/>
    <w:rsid w:val="380D02B1"/>
    <w:rsid w:val="380E1430"/>
    <w:rsid w:val="381A671F"/>
    <w:rsid w:val="381D6F5F"/>
    <w:rsid w:val="38226A7D"/>
    <w:rsid w:val="382B1BDF"/>
    <w:rsid w:val="382E392C"/>
    <w:rsid w:val="38342E90"/>
    <w:rsid w:val="383547CB"/>
    <w:rsid w:val="38383DBD"/>
    <w:rsid w:val="3848759E"/>
    <w:rsid w:val="384B7332"/>
    <w:rsid w:val="385056AF"/>
    <w:rsid w:val="38505C1D"/>
    <w:rsid w:val="38596325"/>
    <w:rsid w:val="38664CBB"/>
    <w:rsid w:val="386A7142"/>
    <w:rsid w:val="386B25B9"/>
    <w:rsid w:val="386D0B7F"/>
    <w:rsid w:val="38706DCB"/>
    <w:rsid w:val="38785A35"/>
    <w:rsid w:val="387A0F38"/>
    <w:rsid w:val="387C443B"/>
    <w:rsid w:val="387C7396"/>
    <w:rsid w:val="38873C6C"/>
    <w:rsid w:val="388E5848"/>
    <w:rsid w:val="38914B1B"/>
    <w:rsid w:val="389307DD"/>
    <w:rsid w:val="3894580C"/>
    <w:rsid w:val="389C6705"/>
    <w:rsid w:val="389E1697"/>
    <w:rsid w:val="38A341A7"/>
    <w:rsid w:val="38A72EC1"/>
    <w:rsid w:val="38B15C1A"/>
    <w:rsid w:val="38B624DA"/>
    <w:rsid w:val="38BD31EE"/>
    <w:rsid w:val="38C078C7"/>
    <w:rsid w:val="38C609B2"/>
    <w:rsid w:val="38CB3BDF"/>
    <w:rsid w:val="38D20DE1"/>
    <w:rsid w:val="38D33D29"/>
    <w:rsid w:val="38D41CCF"/>
    <w:rsid w:val="38D70F8B"/>
    <w:rsid w:val="38E15CAC"/>
    <w:rsid w:val="38E40A5B"/>
    <w:rsid w:val="38E6007F"/>
    <w:rsid w:val="38F15D82"/>
    <w:rsid w:val="38F16A28"/>
    <w:rsid w:val="38F97D7B"/>
    <w:rsid w:val="38FB03A4"/>
    <w:rsid w:val="39026F69"/>
    <w:rsid w:val="39090B81"/>
    <w:rsid w:val="3913791C"/>
    <w:rsid w:val="391A3359"/>
    <w:rsid w:val="392502AB"/>
    <w:rsid w:val="39285D57"/>
    <w:rsid w:val="39290B29"/>
    <w:rsid w:val="392A609E"/>
    <w:rsid w:val="39305263"/>
    <w:rsid w:val="3942177D"/>
    <w:rsid w:val="394303B9"/>
    <w:rsid w:val="394B6470"/>
    <w:rsid w:val="3952319A"/>
    <w:rsid w:val="395B23E5"/>
    <w:rsid w:val="395C6EA8"/>
    <w:rsid w:val="39673821"/>
    <w:rsid w:val="39872512"/>
    <w:rsid w:val="398F1D0F"/>
    <w:rsid w:val="39913D34"/>
    <w:rsid w:val="39A0652B"/>
    <w:rsid w:val="39A06E5F"/>
    <w:rsid w:val="39A602F9"/>
    <w:rsid w:val="39BD140D"/>
    <w:rsid w:val="39BD45C8"/>
    <w:rsid w:val="39C2316A"/>
    <w:rsid w:val="39C84F8B"/>
    <w:rsid w:val="39CD6E1C"/>
    <w:rsid w:val="39D521F5"/>
    <w:rsid w:val="39D752B5"/>
    <w:rsid w:val="39D968F6"/>
    <w:rsid w:val="39E4018B"/>
    <w:rsid w:val="39E57815"/>
    <w:rsid w:val="39EE259F"/>
    <w:rsid w:val="39F36281"/>
    <w:rsid w:val="39F5444A"/>
    <w:rsid w:val="39F81192"/>
    <w:rsid w:val="39FD376D"/>
    <w:rsid w:val="39FD6C9C"/>
    <w:rsid w:val="3A011203"/>
    <w:rsid w:val="3A0224B9"/>
    <w:rsid w:val="3A052C3D"/>
    <w:rsid w:val="3A11466E"/>
    <w:rsid w:val="3A150CD9"/>
    <w:rsid w:val="3A16728B"/>
    <w:rsid w:val="3A16794C"/>
    <w:rsid w:val="3A1F6809"/>
    <w:rsid w:val="3A226969"/>
    <w:rsid w:val="3A263A17"/>
    <w:rsid w:val="3A3D306A"/>
    <w:rsid w:val="3A3F47CE"/>
    <w:rsid w:val="3A4539CA"/>
    <w:rsid w:val="3A4E1C5D"/>
    <w:rsid w:val="3A523735"/>
    <w:rsid w:val="3A557AE4"/>
    <w:rsid w:val="3A5F0BE3"/>
    <w:rsid w:val="3A613D40"/>
    <w:rsid w:val="3A6B0F84"/>
    <w:rsid w:val="3A727435"/>
    <w:rsid w:val="3A732EFB"/>
    <w:rsid w:val="3A813EA6"/>
    <w:rsid w:val="3A897ACA"/>
    <w:rsid w:val="3A90179E"/>
    <w:rsid w:val="3A94055A"/>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113F51"/>
    <w:rsid w:val="3B192990"/>
    <w:rsid w:val="3B2013D1"/>
    <w:rsid w:val="3B2353AF"/>
    <w:rsid w:val="3B290B73"/>
    <w:rsid w:val="3B2D3716"/>
    <w:rsid w:val="3B2D5F23"/>
    <w:rsid w:val="3B307112"/>
    <w:rsid w:val="3B386133"/>
    <w:rsid w:val="3B3939FB"/>
    <w:rsid w:val="3B3E5BDD"/>
    <w:rsid w:val="3B5A2A22"/>
    <w:rsid w:val="3B6829A4"/>
    <w:rsid w:val="3B6D6BFB"/>
    <w:rsid w:val="3B707794"/>
    <w:rsid w:val="3B773A0C"/>
    <w:rsid w:val="3B7804A3"/>
    <w:rsid w:val="3B8724D9"/>
    <w:rsid w:val="3B8E2153"/>
    <w:rsid w:val="3B9117A2"/>
    <w:rsid w:val="3B9B2072"/>
    <w:rsid w:val="3B9D2775"/>
    <w:rsid w:val="3BA03B83"/>
    <w:rsid w:val="3BA34296"/>
    <w:rsid w:val="3BB20883"/>
    <w:rsid w:val="3BB83A3D"/>
    <w:rsid w:val="3BBD2B29"/>
    <w:rsid w:val="3BC34E75"/>
    <w:rsid w:val="3BCB270F"/>
    <w:rsid w:val="3BCB7A64"/>
    <w:rsid w:val="3BD05266"/>
    <w:rsid w:val="3BD86196"/>
    <w:rsid w:val="3BD96AA6"/>
    <w:rsid w:val="3BDB182F"/>
    <w:rsid w:val="3BE22AF1"/>
    <w:rsid w:val="3BED002E"/>
    <w:rsid w:val="3BEE1FD7"/>
    <w:rsid w:val="3BF4605D"/>
    <w:rsid w:val="3BF7151A"/>
    <w:rsid w:val="3C0429BF"/>
    <w:rsid w:val="3C0C5591"/>
    <w:rsid w:val="3C1558AA"/>
    <w:rsid w:val="3C1A201A"/>
    <w:rsid w:val="3C276807"/>
    <w:rsid w:val="3C371D4B"/>
    <w:rsid w:val="3C3B2814"/>
    <w:rsid w:val="3C3B4B9D"/>
    <w:rsid w:val="3C3F701B"/>
    <w:rsid w:val="3C413C82"/>
    <w:rsid w:val="3C423851"/>
    <w:rsid w:val="3C471C36"/>
    <w:rsid w:val="3C4B0140"/>
    <w:rsid w:val="3C4C6458"/>
    <w:rsid w:val="3C4D66ED"/>
    <w:rsid w:val="3C536FD8"/>
    <w:rsid w:val="3C5A6B66"/>
    <w:rsid w:val="3C612A9D"/>
    <w:rsid w:val="3C6423DA"/>
    <w:rsid w:val="3C6C4C7E"/>
    <w:rsid w:val="3C734413"/>
    <w:rsid w:val="3C7537FA"/>
    <w:rsid w:val="3C756A6B"/>
    <w:rsid w:val="3C8048B1"/>
    <w:rsid w:val="3C86525B"/>
    <w:rsid w:val="3C9049D1"/>
    <w:rsid w:val="3C9130FD"/>
    <w:rsid w:val="3C961C72"/>
    <w:rsid w:val="3C982C18"/>
    <w:rsid w:val="3C9B197D"/>
    <w:rsid w:val="3CA5146B"/>
    <w:rsid w:val="3CA734F8"/>
    <w:rsid w:val="3CA95F71"/>
    <w:rsid w:val="3CB03028"/>
    <w:rsid w:val="3CB8005B"/>
    <w:rsid w:val="3CB96C4B"/>
    <w:rsid w:val="3CC16893"/>
    <w:rsid w:val="3CC74223"/>
    <w:rsid w:val="3CC828D0"/>
    <w:rsid w:val="3CCD1F4A"/>
    <w:rsid w:val="3CDB5F96"/>
    <w:rsid w:val="3CE23F49"/>
    <w:rsid w:val="3CE47078"/>
    <w:rsid w:val="3CEC39B8"/>
    <w:rsid w:val="3CF720E3"/>
    <w:rsid w:val="3CF72D6A"/>
    <w:rsid w:val="3CF856B8"/>
    <w:rsid w:val="3CF86D06"/>
    <w:rsid w:val="3CF96160"/>
    <w:rsid w:val="3CFC53C4"/>
    <w:rsid w:val="3D00620E"/>
    <w:rsid w:val="3D035226"/>
    <w:rsid w:val="3D092EB1"/>
    <w:rsid w:val="3D1B3E52"/>
    <w:rsid w:val="3D1B4AE8"/>
    <w:rsid w:val="3D241AAA"/>
    <w:rsid w:val="3D282777"/>
    <w:rsid w:val="3D28633C"/>
    <w:rsid w:val="3D316CDB"/>
    <w:rsid w:val="3D320A35"/>
    <w:rsid w:val="3D370F6F"/>
    <w:rsid w:val="3D3D6BBD"/>
    <w:rsid w:val="3D43773B"/>
    <w:rsid w:val="3D450F8C"/>
    <w:rsid w:val="3D477118"/>
    <w:rsid w:val="3D4A2A1A"/>
    <w:rsid w:val="3D4B7546"/>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9D5CEE"/>
    <w:rsid w:val="3DA26FCD"/>
    <w:rsid w:val="3DB3256E"/>
    <w:rsid w:val="3DB34E86"/>
    <w:rsid w:val="3DB36BC6"/>
    <w:rsid w:val="3DB62F59"/>
    <w:rsid w:val="3DC02A82"/>
    <w:rsid w:val="3DDD201D"/>
    <w:rsid w:val="3DE1506A"/>
    <w:rsid w:val="3DE42233"/>
    <w:rsid w:val="3DE90C78"/>
    <w:rsid w:val="3DED0F96"/>
    <w:rsid w:val="3DF44434"/>
    <w:rsid w:val="3DF5212A"/>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3724A"/>
    <w:rsid w:val="3E441C7D"/>
    <w:rsid w:val="3E490256"/>
    <w:rsid w:val="3E4A085B"/>
    <w:rsid w:val="3E4C47D8"/>
    <w:rsid w:val="3E55739E"/>
    <w:rsid w:val="3E6C43C8"/>
    <w:rsid w:val="3E8227F0"/>
    <w:rsid w:val="3E8316FA"/>
    <w:rsid w:val="3E840E8A"/>
    <w:rsid w:val="3E8646B4"/>
    <w:rsid w:val="3E910178"/>
    <w:rsid w:val="3E910776"/>
    <w:rsid w:val="3E937F82"/>
    <w:rsid w:val="3E9B4B40"/>
    <w:rsid w:val="3EA4432E"/>
    <w:rsid w:val="3EA8791F"/>
    <w:rsid w:val="3EB71AC8"/>
    <w:rsid w:val="3EC04D9B"/>
    <w:rsid w:val="3EC50EC2"/>
    <w:rsid w:val="3EC85E34"/>
    <w:rsid w:val="3ECA0DF7"/>
    <w:rsid w:val="3ECF2AAC"/>
    <w:rsid w:val="3ED0424C"/>
    <w:rsid w:val="3ED07B7E"/>
    <w:rsid w:val="3ED16FB1"/>
    <w:rsid w:val="3EDC792D"/>
    <w:rsid w:val="3EE82545"/>
    <w:rsid w:val="3EEB4E5A"/>
    <w:rsid w:val="3EED4438"/>
    <w:rsid w:val="3EF31E7F"/>
    <w:rsid w:val="3EF36DF0"/>
    <w:rsid w:val="3EF56954"/>
    <w:rsid w:val="3F035EE1"/>
    <w:rsid w:val="3F053EF6"/>
    <w:rsid w:val="3F093188"/>
    <w:rsid w:val="3F0E2BD0"/>
    <w:rsid w:val="3F112D58"/>
    <w:rsid w:val="3F173F6B"/>
    <w:rsid w:val="3F1E1DE8"/>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1B3D"/>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3411E4"/>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DC3993"/>
    <w:rsid w:val="40E9075F"/>
    <w:rsid w:val="40EC7D18"/>
    <w:rsid w:val="40ED11A0"/>
    <w:rsid w:val="40F13769"/>
    <w:rsid w:val="40F311B3"/>
    <w:rsid w:val="40F45C9A"/>
    <w:rsid w:val="40FD1BF0"/>
    <w:rsid w:val="41086A28"/>
    <w:rsid w:val="41096BC0"/>
    <w:rsid w:val="410A75B6"/>
    <w:rsid w:val="410B452A"/>
    <w:rsid w:val="41146D26"/>
    <w:rsid w:val="41151452"/>
    <w:rsid w:val="41197284"/>
    <w:rsid w:val="412243A3"/>
    <w:rsid w:val="412E4C82"/>
    <w:rsid w:val="413353F1"/>
    <w:rsid w:val="41354257"/>
    <w:rsid w:val="414D5867"/>
    <w:rsid w:val="41513BC9"/>
    <w:rsid w:val="415F09CC"/>
    <w:rsid w:val="416263D6"/>
    <w:rsid w:val="4172565D"/>
    <w:rsid w:val="41735B7F"/>
    <w:rsid w:val="41773F78"/>
    <w:rsid w:val="419E60D3"/>
    <w:rsid w:val="41A20564"/>
    <w:rsid w:val="41A339F5"/>
    <w:rsid w:val="41A36C7E"/>
    <w:rsid w:val="41A4656C"/>
    <w:rsid w:val="41AF1969"/>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1F2340"/>
    <w:rsid w:val="42273D8C"/>
    <w:rsid w:val="4227435A"/>
    <w:rsid w:val="423D0756"/>
    <w:rsid w:val="423F223C"/>
    <w:rsid w:val="424819F4"/>
    <w:rsid w:val="424B5824"/>
    <w:rsid w:val="42563414"/>
    <w:rsid w:val="42616DD3"/>
    <w:rsid w:val="42627788"/>
    <w:rsid w:val="4266351A"/>
    <w:rsid w:val="426973AD"/>
    <w:rsid w:val="426E05AE"/>
    <w:rsid w:val="426F56CA"/>
    <w:rsid w:val="427107C5"/>
    <w:rsid w:val="4276421C"/>
    <w:rsid w:val="427A67A1"/>
    <w:rsid w:val="427E0B36"/>
    <w:rsid w:val="428A055C"/>
    <w:rsid w:val="428B1D20"/>
    <w:rsid w:val="429F4CDE"/>
    <w:rsid w:val="42A03D98"/>
    <w:rsid w:val="42A729F1"/>
    <w:rsid w:val="42AD119C"/>
    <w:rsid w:val="42B561EC"/>
    <w:rsid w:val="42B94BC1"/>
    <w:rsid w:val="42BD33E9"/>
    <w:rsid w:val="42BE3DA9"/>
    <w:rsid w:val="42BE4A91"/>
    <w:rsid w:val="42C30254"/>
    <w:rsid w:val="42C41EAD"/>
    <w:rsid w:val="42C42A08"/>
    <w:rsid w:val="42C56017"/>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87C0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F6B54"/>
    <w:rsid w:val="4346543A"/>
    <w:rsid w:val="43533E29"/>
    <w:rsid w:val="43552086"/>
    <w:rsid w:val="435B1259"/>
    <w:rsid w:val="435E69CF"/>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BF1735"/>
    <w:rsid w:val="43BF5CBB"/>
    <w:rsid w:val="43CF0206"/>
    <w:rsid w:val="43D85D6D"/>
    <w:rsid w:val="43DC339E"/>
    <w:rsid w:val="43DD5A30"/>
    <w:rsid w:val="43E261FB"/>
    <w:rsid w:val="43EC6F1F"/>
    <w:rsid w:val="43F21018"/>
    <w:rsid w:val="43F31768"/>
    <w:rsid w:val="43FA2813"/>
    <w:rsid w:val="43FE44BA"/>
    <w:rsid w:val="440D5045"/>
    <w:rsid w:val="440F6C97"/>
    <w:rsid w:val="441137BF"/>
    <w:rsid w:val="4412404B"/>
    <w:rsid w:val="442227E8"/>
    <w:rsid w:val="44242771"/>
    <w:rsid w:val="44270D82"/>
    <w:rsid w:val="442B5F15"/>
    <w:rsid w:val="442C2AD8"/>
    <w:rsid w:val="44300615"/>
    <w:rsid w:val="44365AE6"/>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AF5530"/>
    <w:rsid w:val="44B06ABF"/>
    <w:rsid w:val="44C90C47"/>
    <w:rsid w:val="44D43244"/>
    <w:rsid w:val="44DA1025"/>
    <w:rsid w:val="44DC1A8E"/>
    <w:rsid w:val="44DC46EB"/>
    <w:rsid w:val="44DD4B2F"/>
    <w:rsid w:val="44DE0018"/>
    <w:rsid w:val="44E8312D"/>
    <w:rsid w:val="44EA6491"/>
    <w:rsid w:val="44F03F8F"/>
    <w:rsid w:val="44F14ECF"/>
    <w:rsid w:val="44F95485"/>
    <w:rsid w:val="45057E42"/>
    <w:rsid w:val="45073B4F"/>
    <w:rsid w:val="450C7F39"/>
    <w:rsid w:val="45101FC6"/>
    <w:rsid w:val="451837D5"/>
    <w:rsid w:val="45203DD6"/>
    <w:rsid w:val="45275172"/>
    <w:rsid w:val="45332511"/>
    <w:rsid w:val="45355829"/>
    <w:rsid w:val="453F44DA"/>
    <w:rsid w:val="45412391"/>
    <w:rsid w:val="45412C46"/>
    <w:rsid w:val="454D1AE0"/>
    <w:rsid w:val="45511300"/>
    <w:rsid w:val="45514AD5"/>
    <w:rsid w:val="45514C21"/>
    <w:rsid w:val="4552412E"/>
    <w:rsid w:val="455908C0"/>
    <w:rsid w:val="45594C8E"/>
    <w:rsid w:val="45743BE6"/>
    <w:rsid w:val="4575513B"/>
    <w:rsid w:val="45761EDD"/>
    <w:rsid w:val="457A7286"/>
    <w:rsid w:val="457B06AA"/>
    <w:rsid w:val="457C7D39"/>
    <w:rsid w:val="4582785D"/>
    <w:rsid w:val="458667C4"/>
    <w:rsid w:val="458A518A"/>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A52A8"/>
    <w:rsid w:val="45DD738A"/>
    <w:rsid w:val="45E372CD"/>
    <w:rsid w:val="45EE33EC"/>
    <w:rsid w:val="45F31C83"/>
    <w:rsid w:val="45F52220"/>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846450"/>
    <w:rsid w:val="46894B18"/>
    <w:rsid w:val="468E1931"/>
    <w:rsid w:val="46910480"/>
    <w:rsid w:val="469448C6"/>
    <w:rsid w:val="46A2233C"/>
    <w:rsid w:val="46AB0067"/>
    <w:rsid w:val="46B6272A"/>
    <w:rsid w:val="46B80AF8"/>
    <w:rsid w:val="46C119C0"/>
    <w:rsid w:val="46C11C3D"/>
    <w:rsid w:val="46C52994"/>
    <w:rsid w:val="46D10600"/>
    <w:rsid w:val="46D37F0B"/>
    <w:rsid w:val="46D71533"/>
    <w:rsid w:val="46D719CA"/>
    <w:rsid w:val="46E158DE"/>
    <w:rsid w:val="46E20F68"/>
    <w:rsid w:val="46E333D6"/>
    <w:rsid w:val="46E43970"/>
    <w:rsid w:val="46E53335"/>
    <w:rsid w:val="46EA224A"/>
    <w:rsid w:val="46FF5C70"/>
    <w:rsid w:val="47155D89"/>
    <w:rsid w:val="472862CD"/>
    <w:rsid w:val="473069AF"/>
    <w:rsid w:val="47333582"/>
    <w:rsid w:val="4734479C"/>
    <w:rsid w:val="474A0EAF"/>
    <w:rsid w:val="474A4FC3"/>
    <w:rsid w:val="474E50BE"/>
    <w:rsid w:val="47502F40"/>
    <w:rsid w:val="47504F30"/>
    <w:rsid w:val="47520A2B"/>
    <w:rsid w:val="475A41FF"/>
    <w:rsid w:val="475F1574"/>
    <w:rsid w:val="47667752"/>
    <w:rsid w:val="47682FD5"/>
    <w:rsid w:val="47690F71"/>
    <w:rsid w:val="47696F9C"/>
    <w:rsid w:val="476C4BAA"/>
    <w:rsid w:val="476F0BC1"/>
    <w:rsid w:val="47714F1F"/>
    <w:rsid w:val="47725A17"/>
    <w:rsid w:val="477615A0"/>
    <w:rsid w:val="477654F2"/>
    <w:rsid w:val="477B7929"/>
    <w:rsid w:val="477D3243"/>
    <w:rsid w:val="478821A1"/>
    <w:rsid w:val="479128A9"/>
    <w:rsid w:val="4792797F"/>
    <w:rsid w:val="47965C75"/>
    <w:rsid w:val="47973A13"/>
    <w:rsid w:val="47975EDC"/>
    <w:rsid w:val="47983B19"/>
    <w:rsid w:val="4799117C"/>
    <w:rsid w:val="47A3609D"/>
    <w:rsid w:val="47A47D96"/>
    <w:rsid w:val="47B52288"/>
    <w:rsid w:val="47B93F31"/>
    <w:rsid w:val="47BE1577"/>
    <w:rsid w:val="47C01792"/>
    <w:rsid w:val="47C57A48"/>
    <w:rsid w:val="47D511BD"/>
    <w:rsid w:val="47DB65F6"/>
    <w:rsid w:val="47EF248D"/>
    <w:rsid w:val="48020DE8"/>
    <w:rsid w:val="4808150F"/>
    <w:rsid w:val="480F51A8"/>
    <w:rsid w:val="48143D58"/>
    <w:rsid w:val="48256B1B"/>
    <w:rsid w:val="48282713"/>
    <w:rsid w:val="483320BC"/>
    <w:rsid w:val="48345DB6"/>
    <w:rsid w:val="483914BE"/>
    <w:rsid w:val="4840547B"/>
    <w:rsid w:val="48437DC2"/>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AE56CE"/>
    <w:rsid w:val="48B116EA"/>
    <w:rsid w:val="48B43BF3"/>
    <w:rsid w:val="48B74C7A"/>
    <w:rsid w:val="48BE32BF"/>
    <w:rsid w:val="48C354EC"/>
    <w:rsid w:val="48D429DD"/>
    <w:rsid w:val="48D55F0A"/>
    <w:rsid w:val="48DA4F00"/>
    <w:rsid w:val="48E01C77"/>
    <w:rsid w:val="48E22285"/>
    <w:rsid w:val="48E50D90"/>
    <w:rsid w:val="48EB0D16"/>
    <w:rsid w:val="48FA15CC"/>
    <w:rsid w:val="48FB5474"/>
    <w:rsid w:val="490528B5"/>
    <w:rsid w:val="491B63DF"/>
    <w:rsid w:val="491C7F11"/>
    <w:rsid w:val="491D63E9"/>
    <w:rsid w:val="491E6605"/>
    <w:rsid w:val="49200CF1"/>
    <w:rsid w:val="49306E23"/>
    <w:rsid w:val="4932285C"/>
    <w:rsid w:val="49344813"/>
    <w:rsid w:val="4937722C"/>
    <w:rsid w:val="49384E02"/>
    <w:rsid w:val="493D7A94"/>
    <w:rsid w:val="493E2F78"/>
    <w:rsid w:val="494049CC"/>
    <w:rsid w:val="49427ED4"/>
    <w:rsid w:val="495217DF"/>
    <w:rsid w:val="4958367A"/>
    <w:rsid w:val="495A044A"/>
    <w:rsid w:val="495B224C"/>
    <w:rsid w:val="49614CE3"/>
    <w:rsid w:val="49705407"/>
    <w:rsid w:val="497206BF"/>
    <w:rsid w:val="497B5E78"/>
    <w:rsid w:val="49837164"/>
    <w:rsid w:val="498A16CD"/>
    <w:rsid w:val="498E5F2B"/>
    <w:rsid w:val="49971C13"/>
    <w:rsid w:val="499A71B5"/>
    <w:rsid w:val="49A33C27"/>
    <w:rsid w:val="49A750B5"/>
    <w:rsid w:val="49BA7A56"/>
    <w:rsid w:val="49BE07DA"/>
    <w:rsid w:val="49C47D42"/>
    <w:rsid w:val="49C84AA0"/>
    <w:rsid w:val="49C979E3"/>
    <w:rsid w:val="49D36AA1"/>
    <w:rsid w:val="49D36BAF"/>
    <w:rsid w:val="49D7694D"/>
    <w:rsid w:val="49D97D36"/>
    <w:rsid w:val="49E500F7"/>
    <w:rsid w:val="49EC6AE0"/>
    <w:rsid w:val="49F349E1"/>
    <w:rsid w:val="4A0244D3"/>
    <w:rsid w:val="4A041848"/>
    <w:rsid w:val="4A157673"/>
    <w:rsid w:val="4A185805"/>
    <w:rsid w:val="4A1E2A29"/>
    <w:rsid w:val="4A1F02E3"/>
    <w:rsid w:val="4A255046"/>
    <w:rsid w:val="4A2D1C14"/>
    <w:rsid w:val="4A2D4E28"/>
    <w:rsid w:val="4A2E1525"/>
    <w:rsid w:val="4A3643A4"/>
    <w:rsid w:val="4A3D3E88"/>
    <w:rsid w:val="4A423360"/>
    <w:rsid w:val="4A4A538E"/>
    <w:rsid w:val="4A535178"/>
    <w:rsid w:val="4A593331"/>
    <w:rsid w:val="4A5A756D"/>
    <w:rsid w:val="4A722B4C"/>
    <w:rsid w:val="4A785772"/>
    <w:rsid w:val="4A797A30"/>
    <w:rsid w:val="4A8017C9"/>
    <w:rsid w:val="4A842E43"/>
    <w:rsid w:val="4A887427"/>
    <w:rsid w:val="4A890941"/>
    <w:rsid w:val="4A89105B"/>
    <w:rsid w:val="4A897155"/>
    <w:rsid w:val="4A8C4946"/>
    <w:rsid w:val="4A93210B"/>
    <w:rsid w:val="4AA33615"/>
    <w:rsid w:val="4AA341CC"/>
    <w:rsid w:val="4AAE59D9"/>
    <w:rsid w:val="4AB01AF3"/>
    <w:rsid w:val="4AC13295"/>
    <w:rsid w:val="4AC15226"/>
    <w:rsid w:val="4AC31003"/>
    <w:rsid w:val="4AC40F4C"/>
    <w:rsid w:val="4AD034F7"/>
    <w:rsid w:val="4AD25F33"/>
    <w:rsid w:val="4ADD641F"/>
    <w:rsid w:val="4AE072CB"/>
    <w:rsid w:val="4AE54C43"/>
    <w:rsid w:val="4AE93159"/>
    <w:rsid w:val="4AE951C1"/>
    <w:rsid w:val="4AEA1915"/>
    <w:rsid w:val="4AF02EA1"/>
    <w:rsid w:val="4AF24703"/>
    <w:rsid w:val="4AF86E0A"/>
    <w:rsid w:val="4B0B0C38"/>
    <w:rsid w:val="4B0B79A3"/>
    <w:rsid w:val="4B0C63A0"/>
    <w:rsid w:val="4B157DFB"/>
    <w:rsid w:val="4B170091"/>
    <w:rsid w:val="4B174032"/>
    <w:rsid w:val="4B250CF8"/>
    <w:rsid w:val="4B2873FD"/>
    <w:rsid w:val="4B31377C"/>
    <w:rsid w:val="4B334C97"/>
    <w:rsid w:val="4B39739C"/>
    <w:rsid w:val="4B3C6133"/>
    <w:rsid w:val="4B3C709B"/>
    <w:rsid w:val="4B3D4DE9"/>
    <w:rsid w:val="4B5231DD"/>
    <w:rsid w:val="4B586213"/>
    <w:rsid w:val="4B5F70A8"/>
    <w:rsid w:val="4B610B6B"/>
    <w:rsid w:val="4B7C4100"/>
    <w:rsid w:val="4B830F9B"/>
    <w:rsid w:val="4B8F2DD0"/>
    <w:rsid w:val="4B9B06E8"/>
    <w:rsid w:val="4B9B0C47"/>
    <w:rsid w:val="4B9D2E9A"/>
    <w:rsid w:val="4B9D4011"/>
    <w:rsid w:val="4BA16207"/>
    <w:rsid w:val="4BAD7DD0"/>
    <w:rsid w:val="4BB36BDD"/>
    <w:rsid w:val="4BB60507"/>
    <w:rsid w:val="4BC073B4"/>
    <w:rsid w:val="4BC32290"/>
    <w:rsid w:val="4BC73DDE"/>
    <w:rsid w:val="4BCA3049"/>
    <w:rsid w:val="4BD0339A"/>
    <w:rsid w:val="4BD06CCD"/>
    <w:rsid w:val="4BDB1AFE"/>
    <w:rsid w:val="4BDD6189"/>
    <w:rsid w:val="4BE44D7C"/>
    <w:rsid w:val="4BE82F6C"/>
    <w:rsid w:val="4BF32495"/>
    <w:rsid w:val="4BF759D3"/>
    <w:rsid w:val="4BF86F2E"/>
    <w:rsid w:val="4BFA3FA2"/>
    <w:rsid w:val="4C065916"/>
    <w:rsid w:val="4C0F6FA6"/>
    <w:rsid w:val="4C1C397B"/>
    <w:rsid w:val="4C2910DF"/>
    <w:rsid w:val="4C2B4DDD"/>
    <w:rsid w:val="4C2C12C1"/>
    <w:rsid w:val="4C2E1790"/>
    <w:rsid w:val="4C307AEF"/>
    <w:rsid w:val="4C3618C0"/>
    <w:rsid w:val="4C3828F8"/>
    <w:rsid w:val="4C395F75"/>
    <w:rsid w:val="4C3A7ED7"/>
    <w:rsid w:val="4C3C6B23"/>
    <w:rsid w:val="4C4813AB"/>
    <w:rsid w:val="4C521E0D"/>
    <w:rsid w:val="4C562817"/>
    <w:rsid w:val="4C562920"/>
    <w:rsid w:val="4C562D43"/>
    <w:rsid w:val="4C573BEC"/>
    <w:rsid w:val="4C5A35DB"/>
    <w:rsid w:val="4C5D1F92"/>
    <w:rsid w:val="4C5D58F8"/>
    <w:rsid w:val="4C5E4C9B"/>
    <w:rsid w:val="4C603F16"/>
    <w:rsid w:val="4C60645B"/>
    <w:rsid w:val="4C6262E0"/>
    <w:rsid w:val="4C6703A3"/>
    <w:rsid w:val="4C6A4E41"/>
    <w:rsid w:val="4C6D7518"/>
    <w:rsid w:val="4C793E32"/>
    <w:rsid w:val="4C864F3D"/>
    <w:rsid w:val="4C866AA3"/>
    <w:rsid w:val="4C883DE0"/>
    <w:rsid w:val="4C8F1529"/>
    <w:rsid w:val="4C900BF1"/>
    <w:rsid w:val="4C923A72"/>
    <w:rsid w:val="4CB0041E"/>
    <w:rsid w:val="4CB96B0F"/>
    <w:rsid w:val="4CBD582C"/>
    <w:rsid w:val="4CBE0E0E"/>
    <w:rsid w:val="4CC62F2A"/>
    <w:rsid w:val="4CD02236"/>
    <w:rsid w:val="4CE34E9F"/>
    <w:rsid w:val="4CF52D94"/>
    <w:rsid w:val="4CF72846"/>
    <w:rsid w:val="4D0B5968"/>
    <w:rsid w:val="4D0D7E8A"/>
    <w:rsid w:val="4D107BD0"/>
    <w:rsid w:val="4D115F24"/>
    <w:rsid w:val="4D212A25"/>
    <w:rsid w:val="4D2658BD"/>
    <w:rsid w:val="4D2F7FD8"/>
    <w:rsid w:val="4D327E9E"/>
    <w:rsid w:val="4D4246B7"/>
    <w:rsid w:val="4D462159"/>
    <w:rsid w:val="4D47409F"/>
    <w:rsid w:val="4D4A1488"/>
    <w:rsid w:val="4D525BE3"/>
    <w:rsid w:val="4D544769"/>
    <w:rsid w:val="4D566017"/>
    <w:rsid w:val="4D572C57"/>
    <w:rsid w:val="4D6022FC"/>
    <w:rsid w:val="4D6B6220"/>
    <w:rsid w:val="4D716561"/>
    <w:rsid w:val="4D7D3EFB"/>
    <w:rsid w:val="4D81224C"/>
    <w:rsid w:val="4D866DE7"/>
    <w:rsid w:val="4D87113C"/>
    <w:rsid w:val="4D8A4B8F"/>
    <w:rsid w:val="4D8B0123"/>
    <w:rsid w:val="4D8B277C"/>
    <w:rsid w:val="4D8D384B"/>
    <w:rsid w:val="4D8F1908"/>
    <w:rsid w:val="4D926C66"/>
    <w:rsid w:val="4D931B47"/>
    <w:rsid w:val="4D9721EF"/>
    <w:rsid w:val="4D9F0DDC"/>
    <w:rsid w:val="4DA26C71"/>
    <w:rsid w:val="4DA60176"/>
    <w:rsid w:val="4DAF14C5"/>
    <w:rsid w:val="4DB9067A"/>
    <w:rsid w:val="4DC605B6"/>
    <w:rsid w:val="4DCB146F"/>
    <w:rsid w:val="4DCF7936"/>
    <w:rsid w:val="4DD732D2"/>
    <w:rsid w:val="4DDA2D87"/>
    <w:rsid w:val="4DDC0953"/>
    <w:rsid w:val="4DEA38DB"/>
    <w:rsid w:val="4DEC0985"/>
    <w:rsid w:val="4DF75D38"/>
    <w:rsid w:val="4E024AB6"/>
    <w:rsid w:val="4E0538A3"/>
    <w:rsid w:val="4E065FF3"/>
    <w:rsid w:val="4E0E6818"/>
    <w:rsid w:val="4E1110A1"/>
    <w:rsid w:val="4E1910EB"/>
    <w:rsid w:val="4E1B222E"/>
    <w:rsid w:val="4E27683A"/>
    <w:rsid w:val="4E321D35"/>
    <w:rsid w:val="4E397241"/>
    <w:rsid w:val="4E422DD2"/>
    <w:rsid w:val="4E4C50A3"/>
    <w:rsid w:val="4E510698"/>
    <w:rsid w:val="4E576363"/>
    <w:rsid w:val="4E5D49B1"/>
    <w:rsid w:val="4E635567"/>
    <w:rsid w:val="4E674786"/>
    <w:rsid w:val="4E742982"/>
    <w:rsid w:val="4E7D3D83"/>
    <w:rsid w:val="4E7F1E8F"/>
    <w:rsid w:val="4E833E56"/>
    <w:rsid w:val="4E862481"/>
    <w:rsid w:val="4E896627"/>
    <w:rsid w:val="4E8B2268"/>
    <w:rsid w:val="4E8E2A85"/>
    <w:rsid w:val="4E8E375D"/>
    <w:rsid w:val="4E9C0636"/>
    <w:rsid w:val="4E9D29FB"/>
    <w:rsid w:val="4EA30DB6"/>
    <w:rsid w:val="4EA7341F"/>
    <w:rsid w:val="4EB67F01"/>
    <w:rsid w:val="4EDB58B2"/>
    <w:rsid w:val="4EE925CE"/>
    <w:rsid w:val="4EE978D2"/>
    <w:rsid w:val="4EEB1A94"/>
    <w:rsid w:val="4EEC4096"/>
    <w:rsid w:val="4EEF2E30"/>
    <w:rsid w:val="4EF24828"/>
    <w:rsid w:val="4EF253F4"/>
    <w:rsid w:val="4EF43F34"/>
    <w:rsid w:val="4EF6093E"/>
    <w:rsid w:val="4EFE7F59"/>
    <w:rsid w:val="4EFF7ECD"/>
    <w:rsid w:val="4F0A7D35"/>
    <w:rsid w:val="4F1519A3"/>
    <w:rsid w:val="4F2175F5"/>
    <w:rsid w:val="4F2218BF"/>
    <w:rsid w:val="4F235E7C"/>
    <w:rsid w:val="4F285975"/>
    <w:rsid w:val="4F2A7BF3"/>
    <w:rsid w:val="4F2C2C3C"/>
    <w:rsid w:val="4F2C37D4"/>
    <w:rsid w:val="4F2E2624"/>
    <w:rsid w:val="4F365F2D"/>
    <w:rsid w:val="4F383583"/>
    <w:rsid w:val="4F4973B8"/>
    <w:rsid w:val="4F4E1077"/>
    <w:rsid w:val="4F546156"/>
    <w:rsid w:val="4F5F0E17"/>
    <w:rsid w:val="4F6657CA"/>
    <w:rsid w:val="4F6A3AFB"/>
    <w:rsid w:val="4F7478B1"/>
    <w:rsid w:val="4F844A99"/>
    <w:rsid w:val="4F8B3490"/>
    <w:rsid w:val="4F8B37B0"/>
    <w:rsid w:val="4F9214FD"/>
    <w:rsid w:val="4F94662C"/>
    <w:rsid w:val="4F964BF2"/>
    <w:rsid w:val="4F9766A5"/>
    <w:rsid w:val="4F9A2344"/>
    <w:rsid w:val="4F9F3477"/>
    <w:rsid w:val="4FA378C0"/>
    <w:rsid w:val="4FA8162D"/>
    <w:rsid w:val="4FA96C89"/>
    <w:rsid w:val="4FA96CBB"/>
    <w:rsid w:val="4FAD5914"/>
    <w:rsid w:val="4FB00163"/>
    <w:rsid w:val="4FB208E7"/>
    <w:rsid w:val="4FBC0D69"/>
    <w:rsid w:val="4FE30332"/>
    <w:rsid w:val="4FE37E3E"/>
    <w:rsid w:val="4FE70BB4"/>
    <w:rsid w:val="4FE73C01"/>
    <w:rsid w:val="4FE87C31"/>
    <w:rsid w:val="4FF14DCF"/>
    <w:rsid w:val="4FF57472"/>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5B26C8"/>
    <w:rsid w:val="50601A5C"/>
    <w:rsid w:val="50623643"/>
    <w:rsid w:val="506B27F0"/>
    <w:rsid w:val="506F12BC"/>
    <w:rsid w:val="507278BC"/>
    <w:rsid w:val="50760B0E"/>
    <w:rsid w:val="507E1B25"/>
    <w:rsid w:val="508558A6"/>
    <w:rsid w:val="508E3B94"/>
    <w:rsid w:val="508E4492"/>
    <w:rsid w:val="5090223F"/>
    <w:rsid w:val="50924591"/>
    <w:rsid w:val="50943ACA"/>
    <w:rsid w:val="509575C8"/>
    <w:rsid w:val="50974B65"/>
    <w:rsid w:val="509B2EA8"/>
    <w:rsid w:val="50A649F5"/>
    <w:rsid w:val="50A84A74"/>
    <w:rsid w:val="50AB5EB6"/>
    <w:rsid w:val="50AC0F2E"/>
    <w:rsid w:val="50AE6FE2"/>
    <w:rsid w:val="50B16618"/>
    <w:rsid w:val="50BB6306"/>
    <w:rsid w:val="50BC79E2"/>
    <w:rsid w:val="50C51739"/>
    <w:rsid w:val="50C62FC4"/>
    <w:rsid w:val="50C64C14"/>
    <w:rsid w:val="50C816FE"/>
    <w:rsid w:val="50C85095"/>
    <w:rsid w:val="50CB25B0"/>
    <w:rsid w:val="50CD2E4B"/>
    <w:rsid w:val="50D439C2"/>
    <w:rsid w:val="50D62B25"/>
    <w:rsid w:val="50DC0A71"/>
    <w:rsid w:val="50E25C3F"/>
    <w:rsid w:val="50E6429B"/>
    <w:rsid w:val="50F66F3D"/>
    <w:rsid w:val="50F8688B"/>
    <w:rsid w:val="50FC4E36"/>
    <w:rsid w:val="51004471"/>
    <w:rsid w:val="5105169B"/>
    <w:rsid w:val="51062881"/>
    <w:rsid w:val="5106506D"/>
    <w:rsid w:val="510861B3"/>
    <w:rsid w:val="510956BD"/>
    <w:rsid w:val="51156043"/>
    <w:rsid w:val="5118333A"/>
    <w:rsid w:val="5120254C"/>
    <w:rsid w:val="51230220"/>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94E4D"/>
    <w:rsid w:val="519E116A"/>
    <w:rsid w:val="51A2793A"/>
    <w:rsid w:val="51AD2B9C"/>
    <w:rsid w:val="51AF1325"/>
    <w:rsid w:val="51BA0CB7"/>
    <w:rsid w:val="51BA16FF"/>
    <w:rsid w:val="51BF6DE5"/>
    <w:rsid w:val="51C55F86"/>
    <w:rsid w:val="51D129CA"/>
    <w:rsid w:val="51D93F8A"/>
    <w:rsid w:val="51E333DE"/>
    <w:rsid w:val="51E42B4C"/>
    <w:rsid w:val="51E5046A"/>
    <w:rsid w:val="51EB13E8"/>
    <w:rsid w:val="51F5578D"/>
    <w:rsid w:val="52016056"/>
    <w:rsid w:val="52090DED"/>
    <w:rsid w:val="520A28D1"/>
    <w:rsid w:val="521B1645"/>
    <w:rsid w:val="52272B85"/>
    <w:rsid w:val="52284E31"/>
    <w:rsid w:val="52353F02"/>
    <w:rsid w:val="523D5D76"/>
    <w:rsid w:val="523E09B5"/>
    <w:rsid w:val="524709A0"/>
    <w:rsid w:val="52483618"/>
    <w:rsid w:val="524E6210"/>
    <w:rsid w:val="52594527"/>
    <w:rsid w:val="52650435"/>
    <w:rsid w:val="52665581"/>
    <w:rsid w:val="52687B2A"/>
    <w:rsid w:val="526E0E82"/>
    <w:rsid w:val="527901C6"/>
    <w:rsid w:val="528D1AF7"/>
    <w:rsid w:val="528F4A24"/>
    <w:rsid w:val="52944BB6"/>
    <w:rsid w:val="52996594"/>
    <w:rsid w:val="52A24532"/>
    <w:rsid w:val="52AF04EC"/>
    <w:rsid w:val="52B3363A"/>
    <w:rsid w:val="52B668EB"/>
    <w:rsid w:val="52BB65D3"/>
    <w:rsid w:val="52C4763C"/>
    <w:rsid w:val="52CA4418"/>
    <w:rsid w:val="52D15E4A"/>
    <w:rsid w:val="52D64CA8"/>
    <w:rsid w:val="52DE691D"/>
    <w:rsid w:val="52E04D27"/>
    <w:rsid w:val="52E501E0"/>
    <w:rsid w:val="52E93FA6"/>
    <w:rsid w:val="52ED0C96"/>
    <w:rsid w:val="52F53FAD"/>
    <w:rsid w:val="52FB2EBB"/>
    <w:rsid w:val="52FD0BE2"/>
    <w:rsid w:val="53061721"/>
    <w:rsid w:val="53097E97"/>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B5255"/>
    <w:rsid w:val="536C2A29"/>
    <w:rsid w:val="53743B1E"/>
    <w:rsid w:val="53775B3D"/>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95D58"/>
    <w:rsid w:val="541C1DFD"/>
    <w:rsid w:val="54201800"/>
    <w:rsid w:val="54247F22"/>
    <w:rsid w:val="542A74C0"/>
    <w:rsid w:val="542C29CD"/>
    <w:rsid w:val="542F1551"/>
    <w:rsid w:val="54381756"/>
    <w:rsid w:val="544014F8"/>
    <w:rsid w:val="5443236F"/>
    <w:rsid w:val="54450860"/>
    <w:rsid w:val="54450970"/>
    <w:rsid w:val="544640D3"/>
    <w:rsid w:val="54487D55"/>
    <w:rsid w:val="544F74F7"/>
    <w:rsid w:val="545750B7"/>
    <w:rsid w:val="54591842"/>
    <w:rsid w:val="545A1EBF"/>
    <w:rsid w:val="546757BA"/>
    <w:rsid w:val="54727478"/>
    <w:rsid w:val="547633A9"/>
    <w:rsid w:val="547915AF"/>
    <w:rsid w:val="547F290E"/>
    <w:rsid w:val="54823967"/>
    <w:rsid w:val="54835E71"/>
    <w:rsid w:val="5488319C"/>
    <w:rsid w:val="548947BC"/>
    <w:rsid w:val="548F1EFD"/>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71061"/>
    <w:rsid w:val="550B4121"/>
    <w:rsid w:val="550D5CFC"/>
    <w:rsid w:val="550E1627"/>
    <w:rsid w:val="550F3357"/>
    <w:rsid w:val="55110619"/>
    <w:rsid w:val="55126CC5"/>
    <w:rsid w:val="55197997"/>
    <w:rsid w:val="551A48EF"/>
    <w:rsid w:val="551B6FFD"/>
    <w:rsid w:val="551B7F0A"/>
    <w:rsid w:val="55297E6B"/>
    <w:rsid w:val="552A6B56"/>
    <w:rsid w:val="5532385A"/>
    <w:rsid w:val="553573A0"/>
    <w:rsid w:val="5537365B"/>
    <w:rsid w:val="55381D42"/>
    <w:rsid w:val="55401B14"/>
    <w:rsid w:val="554716F7"/>
    <w:rsid w:val="554748F2"/>
    <w:rsid w:val="554D414C"/>
    <w:rsid w:val="554E7279"/>
    <w:rsid w:val="555928F2"/>
    <w:rsid w:val="55594FFB"/>
    <w:rsid w:val="555C1FFD"/>
    <w:rsid w:val="55637CEB"/>
    <w:rsid w:val="55677DDA"/>
    <w:rsid w:val="556C693A"/>
    <w:rsid w:val="55757FB9"/>
    <w:rsid w:val="55777DC8"/>
    <w:rsid w:val="557E1851"/>
    <w:rsid w:val="55884237"/>
    <w:rsid w:val="5589109F"/>
    <w:rsid w:val="558A2A00"/>
    <w:rsid w:val="558C7FAA"/>
    <w:rsid w:val="55900510"/>
    <w:rsid w:val="55947881"/>
    <w:rsid w:val="55A25EB7"/>
    <w:rsid w:val="55A66DC8"/>
    <w:rsid w:val="55A82784"/>
    <w:rsid w:val="55A9695B"/>
    <w:rsid w:val="55A97512"/>
    <w:rsid w:val="55A9759E"/>
    <w:rsid w:val="55AD0146"/>
    <w:rsid w:val="55AE459E"/>
    <w:rsid w:val="55B15DD2"/>
    <w:rsid w:val="55B63FD5"/>
    <w:rsid w:val="55BB00DE"/>
    <w:rsid w:val="55C35A76"/>
    <w:rsid w:val="55CD5106"/>
    <w:rsid w:val="55CE3BAD"/>
    <w:rsid w:val="55D40743"/>
    <w:rsid w:val="55DD6F2A"/>
    <w:rsid w:val="55DE0971"/>
    <w:rsid w:val="55E46FF7"/>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07051"/>
    <w:rsid w:val="565B08F5"/>
    <w:rsid w:val="56630C00"/>
    <w:rsid w:val="5673186F"/>
    <w:rsid w:val="567739D2"/>
    <w:rsid w:val="56775A0A"/>
    <w:rsid w:val="56827DFA"/>
    <w:rsid w:val="5686536D"/>
    <w:rsid w:val="568B1DB1"/>
    <w:rsid w:val="568B2C88"/>
    <w:rsid w:val="568E0789"/>
    <w:rsid w:val="569807E4"/>
    <w:rsid w:val="56A55214"/>
    <w:rsid w:val="56A67978"/>
    <w:rsid w:val="56AC63C5"/>
    <w:rsid w:val="56B72852"/>
    <w:rsid w:val="56C008D5"/>
    <w:rsid w:val="56C1700B"/>
    <w:rsid w:val="56C85B9C"/>
    <w:rsid w:val="56C86370"/>
    <w:rsid w:val="56CF6248"/>
    <w:rsid w:val="56D25618"/>
    <w:rsid w:val="56D5793F"/>
    <w:rsid w:val="56D7644B"/>
    <w:rsid w:val="56DE55A3"/>
    <w:rsid w:val="56E15114"/>
    <w:rsid w:val="56E71CC5"/>
    <w:rsid w:val="56E83021"/>
    <w:rsid w:val="56E84A97"/>
    <w:rsid w:val="56FB2A68"/>
    <w:rsid w:val="57011F3E"/>
    <w:rsid w:val="57055882"/>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05C7"/>
    <w:rsid w:val="57AA7172"/>
    <w:rsid w:val="57AB6ADD"/>
    <w:rsid w:val="57B7178E"/>
    <w:rsid w:val="57B76EED"/>
    <w:rsid w:val="57BD72A7"/>
    <w:rsid w:val="57BE5838"/>
    <w:rsid w:val="57BF542E"/>
    <w:rsid w:val="57C01A90"/>
    <w:rsid w:val="57CC34B4"/>
    <w:rsid w:val="57D67933"/>
    <w:rsid w:val="57D82354"/>
    <w:rsid w:val="57DC7C08"/>
    <w:rsid w:val="57E14BB8"/>
    <w:rsid w:val="57EC0F52"/>
    <w:rsid w:val="57F91F65"/>
    <w:rsid w:val="57F94155"/>
    <w:rsid w:val="57FC07D9"/>
    <w:rsid w:val="57FE24C5"/>
    <w:rsid w:val="57FF6992"/>
    <w:rsid w:val="580742A5"/>
    <w:rsid w:val="580B408B"/>
    <w:rsid w:val="580C7792"/>
    <w:rsid w:val="580E2E04"/>
    <w:rsid w:val="580F1B21"/>
    <w:rsid w:val="58133F7B"/>
    <w:rsid w:val="581B7E79"/>
    <w:rsid w:val="582B1AE7"/>
    <w:rsid w:val="58316DAE"/>
    <w:rsid w:val="58500F22"/>
    <w:rsid w:val="58587379"/>
    <w:rsid w:val="585C19EB"/>
    <w:rsid w:val="585F7715"/>
    <w:rsid w:val="586D57A3"/>
    <w:rsid w:val="586E53C9"/>
    <w:rsid w:val="587917A0"/>
    <w:rsid w:val="587A4288"/>
    <w:rsid w:val="587E693B"/>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1258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7F2A74"/>
    <w:rsid w:val="597F4D17"/>
    <w:rsid w:val="5987482A"/>
    <w:rsid w:val="598C6F19"/>
    <w:rsid w:val="598D474D"/>
    <w:rsid w:val="598E36EB"/>
    <w:rsid w:val="59931352"/>
    <w:rsid w:val="59954857"/>
    <w:rsid w:val="599C49A8"/>
    <w:rsid w:val="59A04DAD"/>
    <w:rsid w:val="59A36725"/>
    <w:rsid w:val="59A53821"/>
    <w:rsid w:val="59A94796"/>
    <w:rsid w:val="59AA33B3"/>
    <w:rsid w:val="59B027D7"/>
    <w:rsid w:val="59B14B6B"/>
    <w:rsid w:val="59B21BF9"/>
    <w:rsid w:val="59BB4EA3"/>
    <w:rsid w:val="59C90E5A"/>
    <w:rsid w:val="59D749E0"/>
    <w:rsid w:val="59DB77A2"/>
    <w:rsid w:val="59E90D17"/>
    <w:rsid w:val="59E9525B"/>
    <w:rsid w:val="59F0796C"/>
    <w:rsid w:val="59F70BAF"/>
    <w:rsid w:val="59FD1B25"/>
    <w:rsid w:val="5A023A34"/>
    <w:rsid w:val="5A0F52D4"/>
    <w:rsid w:val="5A1A17BB"/>
    <w:rsid w:val="5A297D0D"/>
    <w:rsid w:val="5A332B09"/>
    <w:rsid w:val="5A356869"/>
    <w:rsid w:val="5A37515B"/>
    <w:rsid w:val="5A3C0F08"/>
    <w:rsid w:val="5A3E5B83"/>
    <w:rsid w:val="5A413124"/>
    <w:rsid w:val="5A416A3F"/>
    <w:rsid w:val="5A4B5B7A"/>
    <w:rsid w:val="5A502FE6"/>
    <w:rsid w:val="5A517C69"/>
    <w:rsid w:val="5A557209"/>
    <w:rsid w:val="5A5663A3"/>
    <w:rsid w:val="5A571746"/>
    <w:rsid w:val="5A594A0C"/>
    <w:rsid w:val="5A6253E3"/>
    <w:rsid w:val="5A7E23A4"/>
    <w:rsid w:val="5A8E6670"/>
    <w:rsid w:val="5A912613"/>
    <w:rsid w:val="5A923F1B"/>
    <w:rsid w:val="5A9245E9"/>
    <w:rsid w:val="5A93688A"/>
    <w:rsid w:val="5A953D41"/>
    <w:rsid w:val="5A98461F"/>
    <w:rsid w:val="5AA12BDF"/>
    <w:rsid w:val="5AA7634B"/>
    <w:rsid w:val="5AB7018B"/>
    <w:rsid w:val="5AB72D62"/>
    <w:rsid w:val="5AB8701E"/>
    <w:rsid w:val="5ABC50F4"/>
    <w:rsid w:val="5AC04738"/>
    <w:rsid w:val="5AC61627"/>
    <w:rsid w:val="5ACC4940"/>
    <w:rsid w:val="5AD66153"/>
    <w:rsid w:val="5AD86656"/>
    <w:rsid w:val="5AD86A6D"/>
    <w:rsid w:val="5AEC14F6"/>
    <w:rsid w:val="5AEF30FE"/>
    <w:rsid w:val="5AF124A4"/>
    <w:rsid w:val="5AF551C8"/>
    <w:rsid w:val="5AFE0F7F"/>
    <w:rsid w:val="5AFF26A3"/>
    <w:rsid w:val="5B141085"/>
    <w:rsid w:val="5B205A8A"/>
    <w:rsid w:val="5B244335"/>
    <w:rsid w:val="5B28192B"/>
    <w:rsid w:val="5B28516E"/>
    <w:rsid w:val="5B295620"/>
    <w:rsid w:val="5B32616A"/>
    <w:rsid w:val="5B342BAD"/>
    <w:rsid w:val="5B351DCB"/>
    <w:rsid w:val="5B375B99"/>
    <w:rsid w:val="5B395D55"/>
    <w:rsid w:val="5B4007EF"/>
    <w:rsid w:val="5B453A36"/>
    <w:rsid w:val="5B461588"/>
    <w:rsid w:val="5B4D1F7C"/>
    <w:rsid w:val="5B5404D6"/>
    <w:rsid w:val="5B564EFB"/>
    <w:rsid w:val="5B6251D9"/>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24D8A"/>
    <w:rsid w:val="5BAB5BC4"/>
    <w:rsid w:val="5BB20B74"/>
    <w:rsid w:val="5BB855BE"/>
    <w:rsid w:val="5BC37128"/>
    <w:rsid w:val="5BC677D8"/>
    <w:rsid w:val="5BC82981"/>
    <w:rsid w:val="5BDD3165"/>
    <w:rsid w:val="5BE54040"/>
    <w:rsid w:val="5BE9348B"/>
    <w:rsid w:val="5BEB0120"/>
    <w:rsid w:val="5BEC175C"/>
    <w:rsid w:val="5BEE3521"/>
    <w:rsid w:val="5BF04676"/>
    <w:rsid w:val="5BF96284"/>
    <w:rsid w:val="5C097C4E"/>
    <w:rsid w:val="5C115B42"/>
    <w:rsid w:val="5C1A3A93"/>
    <w:rsid w:val="5C235386"/>
    <w:rsid w:val="5C3B6CFC"/>
    <w:rsid w:val="5C3D5E31"/>
    <w:rsid w:val="5C3F3C67"/>
    <w:rsid w:val="5C404D19"/>
    <w:rsid w:val="5C411D29"/>
    <w:rsid w:val="5C4A6A52"/>
    <w:rsid w:val="5C4C27A2"/>
    <w:rsid w:val="5C4C2CF4"/>
    <w:rsid w:val="5C5E423E"/>
    <w:rsid w:val="5C604DE6"/>
    <w:rsid w:val="5C621BE7"/>
    <w:rsid w:val="5C641B24"/>
    <w:rsid w:val="5C6A3232"/>
    <w:rsid w:val="5C6B1600"/>
    <w:rsid w:val="5C6F0B1A"/>
    <w:rsid w:val="5C752AE6"/>
    <w:rsid w:val="5C774146"/>
    <w:rsid w:val="5C7D5080"/>
    <w:rsid w:val="5C7D70D1"/>
    <w:rsid w:val="5C7F647B"/>
    <w:rsid w:val="5C8542A8"/>
    <w:rsid w:val="5C880B1F"/>
    <w:rsid w:val="5C894527"/>
    <w:rsid w:val="5C8B3F62"/>
    <w:rsid w:val="5C8B7C9B"/>
    <w:rsid w:val="5C952791"/>
    <w:rsid w:val="5CA27B1E"/>
    <w:rsid w:val="5CA6294E"/>
    <w:rsid w:val="5CAD5AEB"/>
    <w:rsid w:val="5CB815AE"/>
    <w:rsid w:val="5CCD5CD0"/>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C66EE"/>
    <w:rsid w:val="5D3D50AA"/>
    <w:rsid w:val="5D3F0BDF"/>
    <w:rsid w:val="5D40278C"/>
    <w:rsid w:val="5D447227"/>
    <w:rsid w:val="5D487EDA"/>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22F67"/>
    <w:rsid w:val="5DA37726"/>
    <w:rsid w:val="5DA53D05"/>
    <w:rsid w:val="5DB36EE9"/>
    <w:rsid w:val="5DCC4C76"/>
    <w:rsid w:val="5DCC73F7"/>
    <w:rsid w:val="5DD14397"/>
    <w:rsid w:val="5DD3123F"/>
    <w:rsid w:val="5DD45E00"/>
    <w:rsid w:val="5DD60CA4"/>
    <w:rsid w:val="5DD71C7A"/>
    <w:rsid w:val="5DD734EC"/>
    <w:rsid w:val="5DDA4F5F"/>
    <w:rsid w:val="5DE45FD1"/>
    <w:rsid w:val="5DEC05A1"/>
    <w:rsid w:val="5DED7D77"/>
    <w:rsid w:val="5DEE0433"/>
    <w:rsid w:val="5DF32230"/>
    <w:rsid w:val="5DFD1653"/>
    <w:rsid w:val="5DFD51DB"/>
    <w:rsid w:val="5E056FD3"/>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96081"/>
    <w:rsid w:val="5EBA4472"/>
    <w:rsid w:val="5EC3227D"/>
    <w:rsid w:val="5ECA3D37"/>
    <w:rsid w:val="5ED746C5"/>
    <w:rsid w:val="5EE153F8"/>
    <w:rsid w:val="5EED7893"/>
    <w:rsid w:val="5EEF65A2"/>
    <w:rsid w:val="5EFB2125"/>
    <w:rsid w:val="5EFB6F0A"/>
    <w:rsid w:val="5F000FED"/>
    <w:rsid w:val="5F023A6D"/>
    <w:rsid w:val="5F0A3A61"/>
    <w:rsid w:val="5F0A7196"/>
    <w:rsid w:val="5F16108D"/>
    <w:rsid w:val="5F1A019F"/>
    <w:rsid w:val="5F2D4536"/>
    <w:rsid w:val="5F301250"/>
    <w:rsid w:val="5F324BDE"/>
    <w:rsid w:val="5F3370DF"/>
    <w:rsid w:val="5F3A5ACD"/>
    <w:rsid w:val="5F3A6C63"/>
    <w:rsid w:val="5F495527"/>
    <w:rsid w:val="5F4A40DE"/>
    <w:rsid w:val="5F4B22AC"/>
    <w:rsid w:val="5F67534D"/>
    <w:rsid w:val="5F683B6E"/>
    <w:rsid w:val="5F6B0F66"/>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00CFD"/>
    <w:rsid w:val="602924C5"/>
    <w:rsid w:val="60297C51"/>
    <w:rsid w:val="602C236D"/>
    <w:rsid w:val="603967D7"/>
    <w:rsid w:val="603B6C71"/>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03E42"/>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CE4002"/>
    <w:rsid w:val="60D44067"/>
    <w:rsid w:val="60D4742F"/>
    <w:rsid w:val="60D95276"/>
    <w:rsid w:val="60DF3F22"/>
    <w:rsid w:val="60E06DEB"/>
    <w:rsid w:val="60E51841"/>
    <w:rsid w:val="60F17056"/>
    <w:rsid w:val="60FF027B"/>
    <w:rsid w:val="61110088"/>
    <w:rsid w:val="611D3AB0"/>
    <w:rsid w:val="612E6087"/>
    <w:rsid w:val="613C2F91"/>
    <w:rsid w:val="61421EFD"/>
    <w:rsid w:val="61463137"/>
    <w:rsid w:val="614A3920"/>
    <w:rsid w:val="61543FF9"/>
    <w:rsid w:val="6159132F"/>
    <w:rsid w:val="615C5041"/>
    <w:rsid w:val="61631B5D"/>
    <w:rsid w:val="617317D3"/>
    <w:rsid w:val="617A62F9"/>
    <w:rsid w:val="617A6EE7"/>
    <w:rsid w:val="617C7A10"/>
    <w:rsid w:val="6182260C"/>
    <w:rsid w:val="61903674"/>
    <w:rsid w:val="619117A1"/>
    <w:rsid w:val="61984EC3"/>
    <w:rsid w:val="61996169"/>
    <w:rsid w:val="619E1255"/>
    <w:rsid w:val="61AA6B84"/>
    <w:rsid w:val="61AD68BC"/>
    <w:rsid w:val="61AE5BED"/>
    <w:rsid w:val="61B173D2"/>
    <w:rsid w:val="61C61B7F"/>
    <w:rsid w:val="61CC3C88"/>
    <w:rsid w:val="61D43A2B"/>
    <w:rsid w:val="61DE7A3D"/>
    <w:rsid w:val="61E34474"/>
    <w:rsid w:val="61F711A2"/>
    <w:rsid w:val="61F94CF7"/>
    <w:rsid w:val="61FF316E"/>
    <w:rsid w:val="620B625B"/>
    <w:rsid w:val="62133A99"/>
    <w:rsid w:val="621542CB"/>
    <w:rsid w:val="6222429B"/>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9801D8"/>
    <w:rsid w:val="62A05735"/>
    <w:rsid w:val="62A411F8"/>
    <w:rsid w:val="62A81A26"/>
    <w:rsid w:val="62B346FF"/>
    <w:rsid w:val="62B5156B"/>
    <w:rsid w:val="62BA7A46"/>
    <w:rsid w:val="62BC2479"/>
    <w:rsid w:val="62BF6757"/>
    <w:rsid w:val="62C376AC"/>
    <w:rsid w:val="62CE13CB"/>
    <w:rsid w:val="62D2197B"/>
    <w:rsid w:val="62D32F29"/>
    <w:rsid w:val="62D90271"/>
    <w:rsid w:val="62DB028F"/>
    <w:rsid w:val="62EC076F"/>
    <w:rsid w:val="62F05276"/>
    <w:rsid w:val="62F36B33"/>
    <w:rsid w:val="62F435E7"/>
    <w:rsid w:val="62F6011A"/>
    <w:rsid w:val="62F9071B"/>
    <w:rsid w:val="62FD2BA9"/>
    <w:rsid w:val="63006C71"/>
    <w:rsid w:val="630A5099"/>
    <w:rsid w:val="630D3D17"/>
    <w:rsid w:val="63143FD8"/>
    <w:rsid w:val="63191F28"/>
    <w:rsid w:val="63216B0A"/>
    <w:rsid w:val="6327422B"/>
    <w:rsid w:val="6328597C"/>
    <w:rsid w:val="632C3741"/>
    <w:rsid w:val="63355AD3"/>
    <w:rsid w:val="633B249F"/>
    <w:rsid w:val="633F2762"/>
    <w:rsid w:val="63443D5E"/>
    <w:rsid w:val="63483071"/>
    <w:rsid w:val="63527617"/>
    <w:rsid w:val="63552D76"/>
    <w:rsid w:val="6359778B"/>
    <w:rsid w:val="635B63E3"/>
    <w:rsid w:val="6361618B"/>
    <w:rsid w:val="63690262"/>
    <w:rsid w:val="63892AC9"/>
    <w:rsid w:val="638B48C8"/>
    <w:rsid w:val="638C3395"/>
    <w:rsid w:val="63927E66"/>
    <w:rsid w:val="63931B0B"/>
    <w:rsid w:val="639A5178"/>
    <w:rsid w:val="63B82D87"/>
    <w:rsid w:val="63BA05AB"/>
    <w:rsid w:val="63BA3154"/>
    <w:rsid w:val="63BF4D8D"/>
    <w:rsid w:val="63CA2E8B"/>
    <w:rsid w:val="63D4153E"/>
    <w:rsid w:val="63DC7755"/>
    <w:rsid w:val="63E43D21"/>
    <w:rsid w:val="63F47D2A"/>
    <w:rsid w:val="63F83144"/>
    <w:rsid w:val="63FE2D33"/>
    <w:rsid w:val="64022EE6"/>
    <w:rsid w:val="64034DE2"/>
    <w:rsid w:val="64046427"/>
    <w:rsid w:val="64153D86"/>
    <w:rsid w:val="64175050"/>
    <w:rsid w:val="64223BD0"/>
    <w:rsid w:val="64264A79"/>
    <w:rsid w:val="642F41AC"/>
    <w:rsid w:val="64304E58"/>
    <w:rsid w:val="64311867"/>
    <w:rsid w:val="64391ED3"/>
    <w:rsid w:val="6445632E"/>
    <w:rsid w:val="6456730A"/>
    <w:rsid w:val="64634AC2"/>
    <w:rsid w:val="64635160"/>
    <w:rsid w:val="647372DB"/>
    <w:rsid w:val="64742B63"/>
    <w:rsid w:val="647A2309"/>
    <w:rsid w:val="647B45B6"/>
    <w:rsid w:val="647E661E"/>
    <w:rsid w:val="648939AA"/>
    <w:rsid w:val="648C635C"/>
    <w:rsid w:val="6498139B"/>
    <w:rsid w:val="649B1AC2"/>
    <w:rsid w:val="64A7467B"/>
    <w:rsid w:val="64A94712"/>
    <w:rsid w:val="64AA5E52"/>
    <w:rsid w:val="64B53322"/>
    <w:rsid w:val="64C61AF8"/>
    <w:rsid w:val="64C71D19"/>
    <w:rsid w:val="64C86505"/>
    <w:rsid w:val="64E704B0"/>
    <w:rsid w:val="64EE15FB"/>
    <w:rsid w:val="64FE700F"/>
    <w:rsid w:val="6500327F"/>
    <w:rsid w:val="6506609B"/>
    <w:rsid w:val="65083216"/>
    <w:rsid w:val="6508621E"/>
    <w:rsid w:val="65177606"/>
    <w:rsid w:val="651B4B76"/>
    <w:rsid w:val="651D5079"/>
    <w:rsid w:val="65222D41"/>
    <w:rsid w:val="65297D03"/>
    <w:rsid w:val="65365570"/>
    <w:rsid w:val="653E150D"/>
    <w:rsid w:val="65460728"/>
    <w:rsid w:val="655032CD"/>
    <w:rsid w:val="65541C03"/>
    <w:rsid w:val="655A04C2"/>
    <w:rsid w:val="65616CFC"/>
    <w:rsid w:val="656716BB"/>
    <w:rsid w:val="65727DE2"/>
    <w:rsid w:val="65822810"/>
    <w:rsid w:val="65844611"/>
    <w:rsid w:val="6585041D"/>
    <w:rsid w:val="65870C45"/>
    <w:rsid w:val="658D24E0"/>
    <w:rsid w:val="659705FF"/>
    <w:rsid w:val="659F7C66"/>
    <w:rsid w:val="65A13CC9"/>
    <w:rsid w:val="65A15290"/>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0F4DEB"/>
    <w:rsid w:val="661D25CE"/>
    <w:rsid w:val="661E1EA8"/>
    <w:rsid w:val="66206CF2"/>
    <w:rsid w:val="6622191A"/>
    <w:rsid w:val="66233728"/>
    <w:rsid w:val="66244029"/>
    <w:rsid w:val="66265846"/>
    <w:rsid w:val="662705F1"/>
    <w:rsid w:val="66287C9C"/>
    <w:rsid w:val="662E4097"/>
    <w:rsid w:val="663B39B8"/>
    <w:rsid w:val="663C7CE5"/>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739F8"/>
    <w:rsid w:val="66AA4BA8"/>
    <w:rsid w:val="66B24120"/>
    <w:rsid w:val="66B24CF9"/>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14AF1"/>
    <w:rsid w:val="672E7943"/>
    <w:rsid w:val="67302DC3"/>
    <w:rsid w:val="673762BE"/>
    <w:rsid w:val="674143A1"/>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A426A"/>
    <w:rsid w:val="67914BE1"/>
    <w:rsid w:val="679C2473"/>
    <w:rsid w:val="67A01F16"/>
    <w:rsid w:val="67AF508C"/>
    <w:rsid w:val="67B163D1"/>
    <w:rsid w:val="67B23F91"/>
    <w:rsid w:val="67B90A20"/>
    <w:rsid w:val="67CA69AB"/>
    <w:rsid w:val="67DC3D7C"/>
    <w:rsid w:val="67DD6C07"/>
    <w:rsid w:val="67F45538"/>
    <w:rsid w:val="67F8231B"/>
    <w:rsid w:val="67FC579C"/>
    <w:rsid w:val="680239EB"/>
    <w:rsid w:val="680722DA"/>
    <w:rsid w:val="68073EC7"/>
    <w:rsid w:val="6809309C"/>
    <w:rsid w:val="680A5480"/>
    <w:rsid w:val="68120E37"/>
    <w:rsid w:val="681B6EC9"/>
    <w:rsid w:val="682211D1"/>
    <w:rsid w:val="682229B7"/>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62D39"/>
    <w:rsid w:val="68884FB3"/>
    <w:rsid w:val="68894BA7"/>
    <w:rsid w:val="688C2890"/>
    <w:rsid w:val="68916B30"/>
    <w:rsid w:val="68974D06"/>
    <w:rsid w:val="689A41FB"/>
    <w:rsid w:val="689E57F0"/>
    <w:rsid w:val="68A34C5C"/>
    <w:rsid w:val="68A702BB"/>
    <w:rsid w:val="68AA2AF0"/>
    <w:rsid w:val="68B26F6B"/>
    <w:rsid w:val="68B44788"/>
    <w:rsid w:val="68BA0E15"/>
    <w:rsid w:val="68CD117F"/>
    <w:rsid w:val="68D26406"/>
    <w:rsid w:val="68DB3760"/>
    <w:rsid w:val="68E21EC1"/>
    <w:rsid w:val="68E24981"/>
    <w:rsid w:val="68F93333"/>
    <w:rsid w:val="69074133"/>
    <w:rsid w:val="69093C6F"/>
    <w:rsid w:val="69123898"/>
    <w:rsid w:val="69123F86"/>
    <w:rsid w:val="69155827"/>
    <w:rsid w:val="69161851"/>
    <w:rsid w:val="69162C82"/>
    <w:rsid w:val="691A127E"/>
    <w:rsid w:val="691C1D81"/>
    <w:rsid w:val="691C3525"/>
    <w:rsid w:val="69216128"/>
    <w:rsid w:val="69280874"/>
    <w:rsid w:val="69335905"/>
    <w:rsid w:val="695D6B21"/>
    <w:rsid w:val="695F601A"/>
    <w:rsid w:val="69611EE7"/>
    <w:rsid w:val="696C708E"/>
    <w:rsid w:val="696F4D5D"/>
    <w:rsid w:val="697C05C1"/>
    <w:rsid w:val="69850877"/>
    <w:rsid w:val="698C13C5"/>
    <w:rsid w:val="698C3794"/>
    <w:rsid w:val="69951AE3"/>
    <w:rsid w:val="69955D61"/>
    <w:rsid w:val="69982EAF"/>
    <w:rsid w:val="69B03525"/>
    <w:rsid w:val="69BB7671"/>
    <w:rsid w:val="69BE49D5"/>
    <w:rsid w:val="69C75642"/>
    <w:rsid w:val="69CD126F"/>
    <w:rsid w:val="69CF0210"/>
    <w:rsid w:val="69D10B25"/>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E2393"/>
    <w:rsid w:val="6A435B92"/>
    <w:rsid w:val="6A444DB8"/>
    <w:rsid w:val="6A463B51"/>
    <w:rsid w:val="6A4D4828"/>
    <w:rsid w:val="6A516AC3"/>
    <w:rsid w:val="6A5303BA"/>
    <w:rsid w:val="6A677080"/>
    <w:rsid w:val="6A711183"/>
    <w:rsid w:val="6A7468D5"/>
    <w:rsid w:val="6A7B4B9C"/>
    <w:rsid w:val="6A84768F"/>
    <w:rsid w:val="6A9B3085"/>
    <w:rsid w:val="6AAC0B91"/>
    <w:rsid w:val="6AAF014C"/>
    <w:rsid w:val="6ABD356B"/>
    <w:rsid w:val="6AC07690"/>
    <w:rsid w:val="6ACB082B"/>
    <w:rsid w:val="6AD03B7B"/>
    <w:rsid w:val="6AD3247E"/>
    <w:rsid w:val="6AE21187"/>
    <w:rsid w:val="6AE4699C"/>
    <w:rsid w:val="6AF317C6"/>
    <w:rsid w:val="6AFB1621"/>
    <w:rsid w:val="6AFE0500"/>
    <w:rsid w:val="6AFF2A9F"/>
    <w:rsid w:val="6B005175"/>
    <w:rsid w:val="6B09696B"/>
    <w:rsid w:val="6B0B3083"/>
    <w:rsid w:val="6B2B0EFD"/>
    <w:rsid w:val="6B2C13E4"/>
    <w:rsid w:val="6B2D2EEB"/>
    <w:rsid w:val="6B2F7CEB"/>
    <w:rsid w:val="6B326B8F"/>
    <w:rsid w:val="6B346460"/>
    <w:rsid w:val="6B3C0AE0"/>
    <w:rsid w:val="6B3C3403"/>
    <w:rsid w:val="6B410613"/>
    <w:rsid w:val="6B457289"/>
    <w:rsid w:val="6B4B0A4C"/>
    <w:rsid w:val="6B4B36C9"/>
    <w:rsid w:val="6B4E75E6"/>
    <w:rsid w:val="6B50310B"/>
    <w:rsid w:val="6B5045E2"/>
    <w:rsid w:val="6B517D2C"/>
    <w:rsid w:val="6B537C1C"/>
    <w:rsid w:val="6B5B3B9E"/>
    <w:rsid w:val="6B5C4553"/>
    <w:rsid w:val="6B695848"/>
    <w:rsid w:val="6B730045"/>
    <w:rsid w:val="6B732B43"/>
    <w:rsid w:val="6B736A2E"/>
    <w:rsid w:val="6B777EF2"/>
    <w:rsid w:val="6B7C253E"/>
    <w:rsid w:val="6B874340"/>
    <w:rsid w:val="6B884219"/>
    <w:rsid w:val="6B886E2F"/>
    <w:rsid w:val="6B90781F"/>
    <w:rsid w:val="6B9905BB"/>
    <w:rsid w:val="6BA42B26"/>
    <w:rsid w:val="6BA6078E"/>
    <w:rsid w:val="6BA6663C"/>
    <w:rsid w:val="6BA9194F"/>
    <w:rsid w:val="6BAE3840"/>
    <w:rsid w:val="6BB210D5"/>
    <w:rsid w:val="6BB23444"/>
    <w:rsid w:val="6BBE7F74"/>
    <w:rsid w:val="6BC63E31"/>
    <w:rsid w:val="6BC842D3"/>
    <w:rsid w:val="6BCB7C53"/>
    <w:rsid w:val="6BCE503D"/>
    <w:rsid w:val="6BE572F9"/>
    <w:rsid w:val="6BE727F5"/>
    <w:rsid w:val="6BEA4872"/>
    <w:rsid w:val="6BEB7658"/>
    <w:rsid w:val="6BED28FB"/>
    <w:rsid w:val="6BEF2742"/>
    <w:rsid w:val="6C0858B3"/>
    <w:rsid w:val="6C240DF3"/>
    <w:rsid w:val="6C3005AE"/>
    <w:rsid w:val="6C300AA8"/>
    <w:rsid w:val="6C3B22AF"/>
    <w:rsid w:val="6C3C3912"/>
    <w:rsid w:val="6C45610F"/>
    <w:rsid w:val="6C483D50"/>
    <w:rsid w:val="6C5222E4"/>
    <w:rsid w:val="6C574B4E"/>
    <w:rsid w:val="6C5761ED"/>
    <w:rsid w:val="6C59472D"/>
    <w:rsid w:val="6C5A4564"/>
    <w:rsid w:val="6C603744"/>
    <w:rsid w:val="6C637CCF"/>
    <w:rsid w:val="6C6957C2"/>
    <w:rsid w:val="6C7802EB"/>
    <w:rsid w:val="6C7E2C8F"/>
    <w:rsid w:val="6C85006B"/>
    <w:rsid w:val="6C89456C"/>
    <w:rsid w:val="6C96209A"/>
    <w:rsid w:val="6CA20D5B"/>
    <w:rsid w:val="6CB71894"/>
    <w:rsid w:val="6CC8798D"/>
    <w:rsid w:val="6CD431E3"/>
    <w:rsid w:val="6CD63FB3"/>
    <w:rsid w:val="6CD955EB"/>
    <w:rsid w:val="6CDB15CA"/>
    <w:rsid w:val="6CF04535"/>
    <w:rsid w:val="6CFE035F"/>
    <w:rsid w:val="6CFF67B3"/>
    <w:rsid w:val="6D05506C"/>
    <w:rsid w:val="6D056EA6"/>
    <w:rsid w:val="6D09175B"/>
    <w:rsid w:val="6D0B5B86"/>
    <w:rsid w:val="6D147141"/>
    <w:rsid w:val="6D1766A9"/>
    <w:rsid w:val="6D1E10B8"/>
    <w:rsid w:val="6D221E52"/>
    <w:rsid w:val="6D227835"/>
    <w:rsid w:val="6D243E83"/>
    <w:rsid w:val="6D2834C8"/>
    <w:rsid w:val="6D2F1F0B"/>
    <w:rsid w:val="6D353F68"/>
    <w:rsid w:val="6D3C6626"/>
    <w:rsid w:val="6D3E495C"/>
    <w:rsid w:val="6D413806"/>
    <w:rsid w:val="6D48513C"/>
    <w:rsid w:val="6D5D0DB5"/>
    <w:rsid w:val="6D6460DF"/>
    <w:rsid w:val="6D66158F"/>
    <w:rsid w:val="6D6855B1"/>
    <w:rsid w:val="6D6C2D19"/>
    <w:rsid w:val="6D7B4AB7"/>
    <w:rsid w:val="6D7E578F"/>
    <w:rsid w:val="6D7E57C6"/>
    <w:rsid w:val="6D836C02"/>
    <w:rsid w:val="6D89784B"/>
    <w:rsid w:val="6D8A2FD0"/>
    <w:rsid w:val="6D8C40A0"/>
    <w:rsid w:val="6D9057BE"/>
    <w:rsid w:val="6D963D4B"/>
    <w:rsid w:val="6D9A7E14"/>
    <w:rsid w:val="6D9E0566"/>
    <w:rsid w:val="6DA3362A"/>
    <w:rsid w:val="6DA36008"/>
    <w:rsid w:val="6DB04D3A"/>
    <w:rsid w:val="6DB81701"/>
    <w:rsid w:val="6DBE7F27"/>
    <w:rsid w:val="6DC0251C"/>
    <w:rsid w:val="6DC51C9B"/>
    <w:rsid w:val="6DCC7033"/>
    <w:rsid w:val="6DCF5F2A"/>
    <w:rsid w:val="6DD3101C"/>
    <w:rsid w:val="6DD33BED"/>
    <w:rsid w:val="6DD97CAC"/>
    <w:rsid w:val="6DDC5249"/>
    <w:rsid w:val="6DE12F9E"/>
    <w:rsid w:val="6DF07406"/>
    <w:rsid w:val="6DF41360"/>
    <w:rsid w:val="6DF43BD4"/>
    <w:rsid w:val="6DFF4992"/>
    <w:rsid w:val="6E000CE0"/>
    <w:rsid w:val="6E0E1FAB"/>
    <w:rsid w:val="6E146C51"/>
    <w:rsid w:val="6E1603D6"/>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20838"/>
    <w:rsid w:val="6EA630A2"/>
    <w:rsid w:val="6EAC188E"/>
    <w:rsid w:val="6EB169D3"/>
    <w:rsid w:val="6EB21539"/>
    <w:rsid w:val="6EB829B1"/>
    <w:rsid w:val="6EB978A9"/>
    <w:rsid w:val="6EC635FB"/>
    <w:rsid w:val="6ECC3A24"/>
    <w:rsid w:val="6ECD7C9F"/>
    <w:rsid w:val="6ED0689A"/>
    <w:rsid w:val="6ED86D3E"/>
    <w:rsid w:val="6EE40E29"/>
    <w:rsid w:val="6EE9744F"/>
    <w:rsid w:val="6EEA215D"/>
    <w:rsid w:val="6EEA47AA"/>
    <w:rsid w:val="6EEC3F7C"/>
    <w:rsid w:val="6EF20CA5"/>
    <w:rsid w:val="6EF3602C"/>
    <w:rsid w:val="6EFE1485"/>
    <w:rsid w:val="6F031F8E"/>
    <w:rsid w:val="6F0C41D3"/>
    <w:rsid w:val="6F0D17B2"/>
    <w:rsid w:val="6F0D382C"/>
    <w:rsid w:val="6F0F0878"/>
    <w:rsid w:val="6F1074A5"/>
    <w:rsid w:val="6F202DDD"/>
    <w:rsid w:val="6F2632E8"/>
    <w:rsid w:val="6F291167"/>
    <w:rsid w:val="6F2F1EE1"/>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23912"/>
    <w:rsid w:val="6F730F95"/>
    <w:rsid w:val="6F7C168C"/>
    <w:rsid w:val="6F975459"/>
    <w:rsid w:val="6F97583D"/>
    <w:rsid w:val="6FA629D4"/>
    <w:rsid w:val="6FA63D38"/>
    <w:rsid w:val="6FA75ADB"/>
    <w:rsid w:val="6FAB1DFB"/>
    <w:rsid w:val="6FAF2E30"/>
    <w:rsid w:val="6FB128AA"/>
    <w:rsid w:val="6FB77ED4"/>
    <w:rsid w:val="6FBD4D2F"/>
    <w:rsid w:val="6FBF4710"/>
    <w:rsid w:val="6FC9109F"/>
    <w:rsid w:val="6FD00EEC"/>
    <w:rsid w:val="6FD2270D"/>
    <w:rsid w:val="6FDB518F"/>
    <w:rsid w:val="6FE529ED"/>
    <w:rsid w:val="6FEC799E"/>
    <w:rsid w:val="6FF733A7"/>
    <w:rsid w:val="70003DD9"/>
    <w:rsid w:val="700623E2"/>
    <w:rsid w:val="70072915"/>
    <w:rsid w:val="700A7927"/>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D2502"/>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132FF"/>
    <w:rsid w:val="71477682"/>
    <w:rsid w:val="71545B37"/>
    <w:rsid w:val="71570E43"/>
    <w:rsid w:val="71573E01"/>
    <w:rsid w:val="71592098"/>
    <w:rsid w:val="715A501D"/>
    <w:rsid w:val="71633397"/>
    <w:rsid w:val="71702748"/>
    <w:rsid w:val="7171169A"/>
    <w:rsid w:val="717D6053"/>
    <w:rsid w:val="71867894"/>
    <w:rsid w:val="7194526D"/>
    <w:rsid w:val="719E1AFD"/>
    <w:rsid w:val="719E26AC"/>
    <w:rsid w:val="719F7A78"/>
    <w:rsid w:val="71B623F6"/>
    <w:rsid w:val="71C7540C"/>
    <w:rsid w:val="71D041D7"/>
    <w:rsid w:val="71D77180"/>
    <w:rsid w:val="71E230BB"/>
    <w:rsid w:val="71E50AC3"/>
    <w:rsid w:val="71F60387"/>
    <w:rsid w:val="71F64A63"/>
    <w:rsid w:val="71F870B8"/>
    <w:rsid w:val="71FD0C91"/>
    <w:rsid w:val="71FF5D88"/>
    <w:rsid w:val="72021233"/>
    <w:rsid w:val="72044F59"/>
    <w:rsid w:val="720A72C1"/>
    <w:rsid w:val="720B2A1D"/>
    <w:rsid w:val="72141C82"/>
    <w:rsid w:val="72161099"/>
    <w:rsid w:val="72175F5D"/>
    <w:rsid w:val="721950B2"/>
    <w:rsid w:val="7220312C"/>
    <w:rsid w:val="72355547"/>
    <w:rsid w:val="723808FE"/>
    <w:rsid w:val="723959DC"/>
    <w:rsid w:val="723D08EB"/>
    <w:rsid w:val="723E4170"/>
    <w:rsid w:val="72452A9E"/>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83ECF"/>
    <w:rsid w:val="72A9359A"/>
    <w:rsid w:val="72AC5E95"/>
    <w:rsid w:val="72C13ED7"/>
    <w:rsid w:val="72CF1AC7"/>
    <w:rsid w:val="72D01A76"/>
    <w:rsid w:val="72D500BF"/>
    <w:rsid w:val="72DB2938"/>
    <w:rsid w:val="72E24699"/>
    <w:rsid w:val="72E42AFA"/>
    <w:rsid w:val="72E85578"/>
    <w:rsid w:val="72EB4466"/>
    <w:rsid w:val="72F833BB"/>
    <w:rsid w:val="72FD426E"/>
    <w:rsid w:val="73005EAC"/>
    <w:rsid w:val="73043CFC"/>
    <w:rsid w:val="73044836"/>
    <w:rsid w:val="7304713F"/>
    <w:rsid w:val="73140ACD"/>
    <w:rsid w:val="731474DA"/>
    <w:rsid w:val="731532B4"/>
    <w:rsid w:val="731A0595"/>
    <w:rsid w:val="731D5585"/>
    <w:rsid w:val="732256F4"/>
    <w:rsid w:val="732B736C"/>
    <w:rsid w:val="732C334F"/>
    <w:rsid w:val="73300793"/>
    <w:rsid w:val="73387A26"/>
    <w:rsid w:val="734F0C79"/>
    <w:rsid w:val="734F4185"/>
    <w:rsid w:val="73520620"/>
    <w:rsid w:val="735F4AEC"/>
    <w:rsid w:val="7363274A"/>
    <w:rsid w:val="736462D9"/>
    <w:rsid w:val="73691A4A"/>
    <w:rsid w:val="736E639C"/>
    <w:rsid w:val="737025EA"/>
    <w:rsid w:val="7371152B"/>
    <w:rsid w:val="73715675"/>
    <w:rsid w:val="73736DAC"/>
    <w:rsid w:val="737716D0"/>
    <w:rsid w:val="73777B4D"/>
    <w:rsid w:val="73892D1C"/>
    <w:rsid w:val="738A6895"/>
    <w:rsid w:val="73917325"/>
    <w:rsid w:val="7395427D"/>
    <w:rsid w:val="73962719"/>
    <w:rsid w:val="739C7F13"/>
    <w:rsid w:val="739E7864"/>
    <w:rsid w:val="73AE5810"/>
    <w:rsid w:val="73B72566"/>
    <w:rsid w:val="73BC7089"/>
    <w:rsid w:val="73BE7067"/>
    <w:rsid w:val="73C34124"/>
    <w:rsid w:val="73C45DC9"/>
    <w:rsid w:val="73C61E23"/>
    <w:rsid w:val="73D0517B"/>
    <w:rsid w:val="73D42A4C"/>
    <w:rsid w:val="73D76D70"/>
    <w:rsid w:val="73E406FD"/>
    <w:rsid w:val="73E41FA2"/>
    <w:rsid w:val="73E52294"/>
    <w:rsid w:val="73EC5464"/>
    <w:rsid w:val="73F174B7"/>
    <w:rsid w:val="73FF1E0B"/>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6B732F"/>
    <w:rsid w:val="746E18CB"/>
    <w:rsid w:val="746F3904"/>
    <w:rsid w:val="74712CBC"/>
    <w:rsid w:val="74771653"/>
    <w:rsid w:val="748D52FA"/>
    <w:rsid w:val="748D65F7"/>
    <w:rsid w:val="748D6EB4"/>
    <w:rsid w:val="74914363"/>
    <w:rsid w:val="74993216"/>
    <w:rsid w:val="749E3FA7"/>
    <w:rsid w:val="749F3C57"/>
    <w:rsid w:val="74A122CC"/>
    <w:rsid w:val="74A525A1"/>
    <w:rsid w:val="74A72748"/>
    <w:rsid w:val="74A7769A"/>
    <w:rsid w:val="74AA1220"/>
    <w:rsid w:val="74AF6C4F"/>
    <w:rsid w:val="74B44784"/>
    <w:rsid w:val="74B7598C"/>
    <w:rsid w:val="74B808BF"/>
    <w:rsid w:val="74BE7A5B"/>
    <w:rsid w:val="74C03187"/>
    <w:rsid w:val="74C06691"/>
    <w:rsid w:val="74C576CE"/>
    <w:rsid w:val="74D16536"/>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34B0A"/>
    <w:rsid w:val="755772AB"/>
    <w:rsid w:val="755D23C7"/>
    <w:rsid w:val="756B0CB3"/>
    <w:rsid w:val="756C0A6E"/>
    <w:rsid w:val="756F5877"/>
    <w:rsid w:val="75752B04"/>
    <w:rsid w:val="75776D46"/>
    <w:rsid w:val="757C1090"/>
    <w:rsid w:val="757D06E2"/>
    <w:rsid w:val="757E257A"/>
    <w:rsid w:val="758208D8"/>
    <w:rsid w:val="75837B5B"/>
    <w:rsid w:val="758642C2"/>
    <w:rsid w:val="758910BB"/>
    <w:rsid w:val="75917BAF"/>
    <w:rsid w:val="75955DA9"/>
    <w:rsid w:val="75977910"/>
    <w:rsid w:val="759F11A3"/>
    <w:rsid w:val="759F2A35"/>
    <w:rsid w:val="75A00EE0"/>
    <w:rsid w:val="75AC563B"/>
    <w:rsid w:val="75AF0CBC"/>
    <w:rsid w:val="75B15C41"/>
    <w:rsid w:val="75BD65C1"/>
    <w:rsid w:val="75C716E4"/>
    <w:rsid w:val="75C86022"/>
    <w:rsid w:val="75CA3E44"/>
    <w:rsid w:val="75CC5191"/>
    <w:rsid w:val="75D12923"/>
    <w:rsid w:val="75D732ED"/>
    <w:rsid w:val="75DB5DD7"/>
    <w:rsid w:val="75E14175"/>
    <w:rsid w:val="75E654F2"/>
    <w:rsid w:val="75EA364B"/>
    <w:rsid w:val="75F07356"/>
    <w:rsid w:val="75F20996"/>
    <w:rsid w:val="75F96973"/>
    <w:rsid w:val="75FF3725"/>
    <w:rsid w:val="76123E1D"/>
    <w:rsid w:val="761270F3"/>
    <w:rsid w:val="76160F8F"/>
    <w:rsid w:val="761A6551"/>
    <w:rsid w:val="762029D6"/>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32C28"/>
    <w:rsid w:val="768C454B"/>
    <w:rsid w:val="7692667A"/>
    <w:rsid w:val="76982273"/>
    <w:rsid w:val="769A7352"/>
    <w:rsid w:val="76A177B8"/>
    <w:rsid w:val="76A769AE"/>
    <w:rsid w:val="76AD2761"/>
    <w:rsid w:val="76B64E53"/>
    <w:rsid w:val="76B8001A"/>
    <w:rsid w:val="76B81599"/>
    <w:rsid w:val="76BB2F21"/>
    <w:rsid w:val="76BB47BC"/>
    <w:rsid w:val="76BC314A"/>
    <w:rsid w:val="76C0190F"/>
    <w:rsid w:val="76C40793"/>
    <w:rsid w:val="76CF0283"/>
    <w:rsid w:val="76CF29D3"/>
    <w:rsid w:val="76DE441B"/>
    <w:rsid w:val="76EA6DD4"/>
    <w:rsid w:val="76EC51FD"/>
    <w:rsid w:val="76F23794"/>
    <w:rsid w:val="76F410B8"/>
    <w:rsid w:val="76F70779"/>
    <w:rsid w:val="77166770"/>
    <w:rsid w:val="771802A1"/>
    <w:rsid w:val="771B67DF"/>
    <w:rsid w:val="771E76DD"/>
    <w:rsid w:val="77241319"/>
    <w:rsid w:val="77272CAB"/>
    <w:rsid w:val="772C0FCF"/>
    <w:rsid w:val="77451578"/>
    <w:rsid w:val="77496762"/>
    <w:rsid w:val="77566ADE"/>
    <w:rsid w:val="77576666"/>
    <w:rsid w:val="775C26D4"/>
    <w:rsid w:val="7762556B"/>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02E51"/>
    <w:rsid w:val="77A80D17"/>
    <w:rsid w:val="77B841F3"/>
    <w:rsid w:val="77C078B1"/>
    <w:rsid w:val="77C302CA"/>
    <w:rsid w:val="77C55C2E"/>
    <w:rsid w:val="77C66C3F"/>
    <w:rsid w:val="77D124CB"/>
    <w:rsid w:val="77DE5E93"/>
    <w:rsid w:val="77E2713E"/>
    <w:rsid w:val="77E66E3C"/>
    <w:rsid w:val="77F224A7"/>
    <w:rsid w:val="77F3789A"/>
    <w:rsid w:val="780326B9"/>
    <w:rsid w:val="780332E5"/>
    <w:rsid w:val="78060D31"/>
    <w:rsid w:val="78153667"/>
    <w:rsid w:val="781670F3"/>
    <w:rsid w:val="7828596B"/>
    <w:rsid w:val="782B4B43"/>
    <w:rsid w:val="782D3D3A"/>
    <w:rsid w:val="78331B7E"/>
    <w:rsid w:val="7833711D"/>
    <w:rsid w:val="783842C9"/>
    <w:rsid w:val="78460D63"/>
    <w:rsid w:val="78497C2E"/>
    <w:rsid w:val="78502D35"/>
    <w:rsid w:val="7854087B"/>
    <w:rsid w:val="785576A3"/>
    <w:rsid w:val="78573E50"/>
    <w:rsid w:val="785819D2"/>
    <w:rsid w:val="785B5BE7"/>
    <w:rsid w:val="786A4053"/>
    <w:rsid w:val="78781E78"/>
    <w:rsid w:val="78782A0D"/>
    <w:rsid w:val="78785A2F"/>
    <w:rsid w:val="787B5060"/>
    <w:rsid w:val="788720E7"/>
    <w:rsid w:val="788F43BD"/>
    <w:rsid w:val="78906D21"/>
    <w:rsid w:val="789E5A36"/>
    <w:rsid w:val="78A17FC0"/>
    <w:rsid w:val="78A90B04"/>
    <w:rsid w:val="78B22D5E"/>
    <w:rsid w:val="78BE4564"/>
    <w:rsid w:val="78C53485"/>
    <w:rsid w:val="78C6693F"/>
    <w:rsid w:val="78C76A01"/>
    <w:rsid w:val="78CA4409"/>
    <w:rsid w:val="78CF286F"/>
    <w:rsid w:val="78D15942"/>
    <w:rsid w:val="78D34F15"/>
    <w:rsid w:val="78E86E4E"/>
    <w:rsid w:val="78EC45D8"/>
    <w:rsid w:val="78EC6DF0"/>
    <w:rsid w:val="78EC70BD"/>
    <w:rsid w:val="78F5335B"/>
    <w:rsid w:val="7903206E"/>
    <w:rsid w:val="7904095A"/>
    <w:rsid w:val="790702C1"/>
    <w:rsid w:val="790919EB"/>
    <w:rsid w:val="790B5CA7"/>
    <w:rsid w:val="790D4D9F"/>
    <w:rsid w:val="791562F1"/>
    <w:rsid w:val="791843E7"/>
    <w:rsid w:val="79207B63"/>
    <w:rsid w:val="79233426"/>
    <w:rsid w:val="79260F03"/>
    <w:rsid w:val="79270902"/>
    <w:rsid w:val="79354C49"/>
    <w:rsid w:val="79387141"/>
    <w:rsid w:val="79395A92"/>
    <w:rsid w:val="794008FB"/>
    <w:rsid w:val="79407D80"/>
    <w:rsid w:val="794708D9"/>
    <w:rsid w:val="794B21A1"/>
    <w:rsid w:val="794D27EA"/>
    <w:rsid w:val="794E2CE6"/>
    <w:rsid w:val="79546264"/>
    <w:rsid w:val="7962130E"/>
    <w:rsid w:val="7964574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52AE5"/>
    <w:rsid w:val="79C6284E"/>
    <w:rsid w:val="79D33056"/>
    <w:rsid w:val="79D715DF"/>
    <w:rsid w:val="79DD7302"/>
    <w:rsid w:val="79E60672"/>
    <w:rsid w:val="79EC0256"/>
    <w:rsid w:val="79EF211B"/>
    <w:rsid w:val="79F60153"/>
    <w:rsid w:val="79FB6E2C"/>
    <w:rsid w:val="7A014AE3"/>
    <w:rsid w:val="7A0711EA"/>
    <w:rsid w:val="7A0E2780"/>
    <w:rsid w:val="7A1E4736"/>
    <w:rsid w:val="7A222F7B"/>
    <w:rsid w:val="7A2A567E"/>
    <w:rsid w:val="7A2C0718"/>
    <w:rsid w:val="7A2C71A3"/>
    <w:rsid w:val="7A36322F"/>
    <w:rsid w:val="7A3B1ED1"/>
    <w:rsid w:val="7A4042DC"/>
    <w:rsid w:val="7A425A0D"/>
    <w:rsid w:val="7A427BA1"/>
    <w:rsid w:val="7A4C2D60"/>
    <w:rsid w:val="7A4D68B4"/>
    <w:rsid w:val="7A5300F2"/>
    <w:rsid w:val="7A5E0869"/>
    <w:rsid w:val="7A687DE1"/>
    <w:rsid w:val="7A6E4BF5"/>
    <w:rsid w:val="7A735653"/>
    <w:rsid w:val="7A751DF5"/>
    <w:rsid w:val="7A851D5D"/>
    <w:rsid w:val="7A85352B"/>
    <w:rsid w:val="7A8A2267"/>
    <w:rsid w:val="7A957B44"/>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0927"/>
    <w:rsid w:val="7B047BC5"/>
    <w:rsid w:val="7B274176"/>
    <w:rsid w:val="7B2B1509"/>
    <w:rsid w:val="7B2F7204"/>
    <w:rsid w:val="7B306163"/>
    <w:rsid w:val="7B314CD2"/>
    <w:rsid w:val="7B31652B"/>
    <w:rsid w:val="7B3B7D96"/>
    <w:rsid w:val="7B3E17AA"/>
    <w:rsid w:val="7B3E7C70"/>
    <w:rsid w:val="7B401C79"/>
    <w:rsid w:val="7B410712"/>
    <w:rsid w:val="7B440ED6"/>
    <w:rsid w:val="7B441FB5"/>
    <w:rsid w:val="7B4678D7"/>
    <w:rsid w:val="7B4B2A93"/>
    <w:rsid w:val="7B4F68C4"/>
    <w:rsid w:val="7B523A79"/>
    <w:rsid w:val="7B527515"/>
    <w:rsid w:val="7B530743"/>
    <w:rsid w:val="7B581154"/>
    <w:rsid w:val="7B672588"/>
    <w:rsid w:val="7B726B7D"/>
    <w:rsid w:val="7B890A24"/>
    <w:rsid w:val="7B8A4A8A"/>
    <w:rsid w:val="7B8C602F"/>
    <w:rsid w:val="7B911911"/>
    <w:rsid w:val="7B9A079E"/>
    <w:rsid w:val="7B9B2881"/>
    <w:rsid w:val="7B9C1915"/>
    <w:rsid w:val="7BAA45BD"/>
    <w:rsid w:val="7BAA485C"/>
    <w:rsid w:val="7BAD1591"/>
    <w:rsid w:val="7BCD64C2"/>
    <w:rsid w:val="7BD100FC"/>
    <w:rsid w:val="7BD24E35"/>
    <w:rsid w:val="7BD3716B"/>
    <w:rsid w:val="7BEC2711"/>
    <w:rsid w:val="7BEE1DBA"/>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4E3443"/>
    <w:rsid w:val="7C576C70"/>
    <w:rsid w:val="7C5D03E9"/>
    <w:rsid w:val="7C5F3B34"/>
    <w:rsid w:val="7C6E4349"/>
    <w:rsid w:val="7C77043F"/>
    <w:rsid w:val="7C8011AF"/>
    <w:rsid w:val="7C8A4EE9"/>
    <w:rsid w:val="7C8A7CDC"/>
    <w:rsid w:val="7C9355AD"/>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76804"/>
    <w:rsid w:val="7DDF5E0F"/>
    <w:rsid w:val="7DE70969"/>
    <w:rsid w:val="7DE81862"/>
    <w:rsid w:val="7DEC2D4B"/>
    <w:rsid w:val="7E090313"/>
    <w:rsid w:val="7E102BFA"/>
    <w:rsid w:val="7E1E18E3"/>
    <w:rsid w:val="7E223BE0"/>
    <w:rsid w:val="7E251BD5"/>
    <w:rsid w:val="7E325371"/>
    <w:rsid w:val="7E341EDF"/>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993F20"/>
    <w:rsid w:val="7EA22D23"/>
    <w:rsid w:val="7EAA4E14"/>
    <w:rsid w:val="7EAA7C26"/>
    <w:rsid w:val="7EAB69D0"/>
    <w:rsid w:val="7EAF1FAA"/>
    <w:rsid w:val="7EB4653A"/>
    <w:rsid w:val="7EBE0226"/>
    <w:rsid w:val="7EC10C3E"/>
    <w:rsid w:val="7EC24A4F"/>
    <w:rsid w:val="7ECA4601"/>
    <w:rsid w:val="7ECB3117"/>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75C04"/>
    <w:rsid w:val="7F2B3705"/>
    <w:rsid w:val="7F331840"/>
    <w:rsid w:val="7F3334BA"/>
    <w:rsid w:val="7F334039"/>
    <w:rsid w:val="7F3E241F"/>
    <w:rsid w:val="7F453C56"/>
    <w:rsid w:val="7F542B37"/>
    <w:rsid w:val="7F5B43F9"/>
    <w:rsid w:val="7F5D5FB1"/>
    <w:rsid w:val="7F6203CA"/>
    <w:rsid w:val="7F6B2248"/>
    <w:rsid w:val="7F6F1B6B"/>
    <w:rsid w:val="7F78098B"/>
    <w:rsid w:val="7F7D7A8E"/>
    <w:rsid w:val="7F815BEF"/>
    <w:rsid w:val="7F872588"/>
    <w:rsid w:val="7F8725BA"/>
    <w:rsid w:val="7F881F1A"/>
    <w:rsid w:val="7F8B3264"/>
    <w:rsid w:val="7F8C6A8F"/>
    <w:rsid w:val="7F9C175D"/>
    <w:rsid w:val="7F9D1CD6"/>
    <w:rsid w:val="7F9F2BCF"/>
    <w:rsid w:val="7F9F56AA"/>
    <w:rsid w:val="7FA85877"/>
    <w:rsid w:val="7FAB3A81"/>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Proposal"/>
    <w:basedOn w:val="1"/>
    <w:qFormat/>
    <w:uiPriority w:val="0"/>
    <w:pPr>
      <w:numPr>
        <w:ilvl w:val="0"/>
        <w:numId w:val="7"/>
      </w:numPr>
      <w:ind w:left="0"/>
    </w:pPr>
  </w:style>
  <w:style w:type="paragraph" w:customStyle="1" w:styleId="83">
    <w:name w:val="tah"/>
    <w:basedOn w:val="1"/>
    <w:qFormat/>
    <w:uiPriority w:val="0"/>
    <w:pPr>
      <w:spacing w:before="100" w:beforeAutospacing="1" w:after="100" w:afterAutospacing="1"/>
    </w:pPr>
    <w:rPr>
      <w:rFonts w:eastAsia="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1879</Words>
  <Characters>9279</Characters>
  <Lines>52</Lines>
  <Paragraphs>14</Paragraphs>
  <TotalTime>1</TotalTime>
  <ScaleCrop>false</ScaleCrop>
  <LinksUpToDate>false</LinksUpToDate>
  <CharactersWithSpaces>11110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2025-09-29T12:58:11Z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BB5277C8438941C4A087E48C420D1B84_13</vt:lpwstr>
  </property>
  <property fmtid="{D5CDD505-2E9C-101B-9397-08002B2CF9AE}" pid="4" name="KSOTemplateDocerSaveRecord">
    <vt:lpwstr>eyJoZGlkIjoiNTA2MDIzMjk0NzI5MmEzNWQ4YmNjZGZiMjgzNzc2MDMiLCJ1c2VySWQiOiIxMDQyMjkzMzc0In0=</vt:lpwstr>
  </property>
</Properties>
</file>